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41E07111" Type="http://schemas.openxmlformats.org/officeDocument/2006/relationships/officeDocument" Target="/word/document.xml" /><Relationship Id="coreR41E0711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70:06:04:02.  Criteria used to award grants.</w:t>
      </w:r>
      <w:r>
        <w:rPr>
          <w:rFonts w:ascii="Times New Roman" w:hAnsi="Times New Roman"/>
          <w:sz w:val="24"/>
        </w:rPr>
        <w:t xml:space="preserve"> The department shall use the following criteria to award grants to providers of intercity bus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The total number of</w:t>
      </w:r>
      <w:r>
        <w:rPr>
          <w:rFonts w:ascii="Times New Roman" w:hAnsi="Times New Roman"/>
          <w:sz w:val="24"/>
          <w:lang w:val="en-US" w:bidi="en-US" w:eastAsia="en-US"/>
        </w:rPr>
        <w:t xml:space="preserve"> vehicle</w:t>
      </w:r>
      <w:r>
        <w:rPr>
          <w:rFonts w:ascii="Times New Roman" w:hAnsi="Times New Roman"/>
          <w:sz w:val="24"/>
        </w:rPr>
        <w:t xml:space="preserve"> miles driven</w:t>
      </w:r>
      <w:r>
        <w:rPr>
          <w:rFonts w:ascii="Times New Roman" w:hAnsi="Times New Roman"/>
          <w:sz w:val="24"/>
          <w:lang w:val="en-US" w:bidi="en-US" w:eastAsia="en-US"/>
        </w:rPr>
        <w:t xml:space="preserve"> and passengers served</w:t>
      </w:r>
      <w:r>
        <w:rPr>
          <w:rFonts w:ascii="Times New Roman" w:hAnsi="Times New Roman"/>
          <w:sz w:val="24"/>
        </w:rPr>
        <w:t xml:space="preserve"> during the last operating year on regularly scheduled fixed routes by bus services which are open to the general public and operated by the grant applicant within South Dakota. No charter or tour mileages may be included;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Annual operating losses on regularly scheduled, fixed-route intercity bus services within South Dakota, documented by a complete description of the intercity services provided and verification by an independent certified public accountant of the grant applicant's most recent financial statement;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(3)  The </w:t>
      </w:r>
      <w:r>
        <w:rPr>
          <w:rFonts w:ascii="Times New Roman" w:hAnsi="Times New Roman"/>
          <w:sz w:val="24"/>
          <w:lang w:val="en-US" w:bidi="en-US" w:eastAsia="en-US"/>
        </w:rPr>
        <w:t>provider's proposed budget for operating expenses and transit administration expenses in the upcoming federal fiscal year</w:t>
      </w:r>
      <w:r>
        <w:rPr>
          <w:rFonts w:ascii="Times New Roman" w:hAnsi="Times New Roman"/>
          <w:sz w:val="24"/>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Circular FTA C 9040.1</w:t>
      </w:r>
      <w:r>
        <w:rPr>
          <w:rFonts w:ascii="Times New Roman" w:hAnsi="Times New Roman"/>
          <w:sz w:val="24"/>
          <w:lang w:val="en-US" w:bidi="en-US" w:eastAsia="en-US"/>
        </w:rPr>
        <w:t>G</w:t>
      </w:r>
      <w:r>
        <w:rPr>
          <w:rFonts w:ascii="Times New Roman" w:hAnsi="Times New Roman"/>
          <w:sz w:val="24"/>
        </w:rPr>
        <w:t>, Chapter V</w:t>
      </w:r>
      <w:r>
        <w:rPr>
          <w:rFonts w:ascii="Times New Roman" w:hAnsi="Times New Roman"/>
          <w:sz w:val="24"/>
          <w:lang w:val="en-US" w:bidi="en-US" w:eastAsia="en-US"/>
        </w:rPr>
        <w:t>III</w:t>
      </w:r>
      <w:r>
        <w:rPr>
          <w:rFonts w:ascii="Times New Roman" w:hAnsi="Times New Roman"/>
          <w:sz w:val="24"/>
        </w:rPr>
        <w:t xml:space="preserve">, dated November </w:t>
      </w:r>
      <w:r>
        <w:rPr>
          <w:rFonts w:ascii="Times New Roman" w:hAnsi="Times New Roman"/>
          <w:sz w:val="24"/>
          <w:lang w:val="en-US" w:bidi="en-US" w:eastAsia="en-US"/>
        </w:rPr>
        <w:t>24</w:t>
      </w:r>
      <w:r>
        <w:rPr>
          <w:rFonts w:ascii="Times New Roman" w:hAnsi="Times New Roman"/>
          <w:sz w:val="24"/>
        </w:rPr>
        <w:t xml:space="preserve">, </w:t>
      </w:r>
      <w:r>
        <w:rPr>
          <w:rFonts w:ascii="Times New Roman" w:hAnsi="Times New Roman"/>
          <w:sz w:val="24"/>
          <w:lang w:val="en-US" w:bidi="en-US" w:eastAsia="en-US"/>
        </w:rPr>
        <w:t>20</w:t>
      </w:r>
      <w:r>
        <w:rPr>
          <w:rFonts w:ascii="Times New Roman" w:hAnsi="Times New Roman"/>
          <w:sz w:val="24"/>
        </w:rPr>
        <w:t>1</w:t>
      </w:r>
      <w:r>
        <w:rPr>
          <w:rFonts w:ascii="Times New Roman" w:hAnsi="Times New Roman"/>
          <w:sz w:val="24"/>
          <w:lang w:val="en-US" w:bidi="en-US" w:eastAsia="en-US"/>
        </w:rPr>
        <w:t>4</w:t>
      </w:r>
      <w:r>
        <w:rPr>
          <w:rFonts w:ascii="Times New Roman" w:hAnsi="Times New Roman"/>
          <w:sz w:val="24"/>
        </w:rPr>
        <w:t>, issued by FTA to implement 49 U.S.C.</w:t>
      </w:r>
      <w:r>
        <w:rPr>
          <w:rFonts w:ascii="Times New Roman" w:hAnsi="Times New Roman"/>
          <w:sz w:val="24"/>
        </w:rPr>
        <w:t xml:space="preserve"> § </w:t>
      </w:r>
      <w:r>
        <w:rPr>
          <w:rFonts w:ascii="Times New Roman" w:hAnsi="Times New Roman"/>
          <w:sz w:val="24"/>
          <w:lang w:val="en-US" w:bidi="en-US" w:eastAsia="en-US"/>
        </w:rPr>
        <w:t>531</w:t>
      </w:r>
      <w:r>
        <w:rPr>
          <w:rFonts w:ascii="Times New Roman" w:hAnsi="Times New Roman"/>
          <w:sz w:val="24"/>
        </w:rPr>
        <w:t>1</w:t>
      </w:r>
      <w:r>
        <w:rPr>
          <w:rFonts w:ascii="Times New Roman" w:hAnsi="Times New Roman"/>
          <w:sz w:val="24"/>
        </w:rPr>
        <w:t>(</w:t>
      </w:r>
      <w:r>
        <w:rPr>
          <w:rFonts w:ascii="Times New Roman" w:hAnsi="Times New Roman"/>
          <w:sz w:val="24"/>
          <w:lang w:val="en-US" w:bidi="en-US" w:eastAsia="en-US"/>
        </w:rPr>
        <w:t>f</w:t>
      </w:r>
      <w:r>
        <w:rPr>
          <w:rFonts w:ascii="Times New Roman" w:hAnsi="Times New Roman"/>
          <w:sz w:val="24"/>
        </w:rPr>
        <w:t>)</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The department may award additional funds to projects which expand intercity bus service to currently unserved areas of South Dakota or which support intercity bus services routes in immediate danger of abandonment.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20 SDR 59, effective November 1, 1993</w:t>
      </w:r>
      <w:r>
        <w:rPr>
          <w:rFonts w:ascii="Times New Roman" w:hAnsi="Times New Roman"/>
          <w:sz w:val="24"/>
          <w:lang w:val="en-US" w:bidi="en-US" w:eastAsia="en-US"/>
        </w:rPr>
        <w:t>; 45 SDR 158</w:t>
      </w:r>
      <w:r>
        <w:rPr>
          <w:rFonts w:ascii="Times New Roman" w:hAnsi="Times New Roman"/>
          <w:sz w:val="24"/>
          <w:lang w:val="en-US" w:bidi="en-US" w:eastAsia="en-US"/>
        </w:rPr>
        <w:t>, effective July 1, 2019</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1-44-7.4.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1-44-7.4.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2005-04-08T19:48:00Z</dcterms:created>
  <cp:lastModifiedBy>Rhonda Purkapile</cp:lastModifiedBy>
  <dcterms:modified xsi:type="dcterms:W3CDTF">2019-06-19T16:09:21Z</dcterms:modified>
  <cp:revision>3</cp:revision>
</cp:coreProperties>
</file>