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394C892" Type="http://schemas.openxmlformats.org/officeDocument/2006/relationships/officeDocument" Target="/word/document.xml" /><Relationship Id="coreR5394C89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70:07:04:09.  Reasons for debarment.</w:t>
      </w:r>
      <w:r>
        <w:rPr>
          <w:rFonts w:ascii="Times New Roman" w:hAnsi="Times New Roman"/>
          <w:sz w:val="24"/>
        </w:rPr>
        <w:t xml:space="preserve"> The commission </w:t>
      </w:r>
      <w:r>
        <w:rPr>
          <w:rFonts w:ascii="Times New Roman" w:hAnsi="Times New Roman"/>
          <w:sz w:val="24"/>
          <w:lang w:val="en-US" w:bidi="en-US" w:eastAsia="en-US"/>
        </w:rPr>
        <w:t>may</w:t>
      </w:r>
      <w:r>
        <w:rPr>
          <w:rFonts w:ascii="Times New Roman" w:hAnsi="Times New Roman"/>
          <w:sz w:val="24"/>
        </w:rPr>
        <w:t xml:space="preserve"> debar a business for the following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business employs a former principal of a debarred or suspended business or person as an officer, director, or manager or in another significant decision-making capacity while the former principal or business is debarred or suspended;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business is owned by or associated in a joint venture with a debarred or suspended business or is controlled by a principal or former principal of a debarred or suspended business;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 former principal of a debarred or suspended business has a significant financial interest in the business and the principal has the authority to or will control, direct, manage, or influence activities of the business concerned with the department contract in question.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19 SDR 154, effective April 11, 1993</w:t>
      </w:r>
      <w:r>
        <w:rPr>
          <w:rFonts w:ascii="Times New Roman" w:hAnsi="Times New Roman"/>
          <w:sz w:val="24"/>
        </w:rPr>
        <w:t>; 47 SDR 38, effective October 6,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2005-04-08T20:27:00Z</dcterms:created>
  <cp:lastModifiedBy>Rhonda Purkapile</cp:lastModifiedBy>
  <dcterms:modified xsi:type="dcterms:W3CDTF">2020-09-29T16:35:26Z</dcterms:modified>
  <cp:revision>4</cp:revision>
  <dc:title>CHAPTER 70:07:04</dc:title>
</cp:coreProperties>
</file>