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D59CF3" Type="http://schemas.openxmlformats.org/officeDocument/2006/relationships/officeDocument" Target="/word/document.xml" /><Relationship Id="coreRD59CF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70:07:04:10.  </w:t>
      </w:r>
      <w:r>
        <w:rPr>
          <w:b w:val="1"/>
          <w:lang w:val="en-US" w:bidi="en-US" w:eastAsia="en-US"/>
        </w:rPr>
        <w:t>Right to hearing on suspension and debarment</w:t>
      </w:r>
      <w:r>
        <w:rPr>
          <w:b w:val="1"/>
        </w:rPr>
        <w:t>.</w:t>
      </w:r>
      <w:r>
        <w:t xml:space="preserve"> The</w:t>
      </w:r>
      <w:r>
        <w:rPr>
          <w:lang w:val="en-US" w:bidi="en-US" w:eastAsia="en-US"/>
        </w:rPr>
        <w:t xml:space="preserve"> secretary may suspend a business and the</w:t>
      </w:r>
      <w:r>
        <w:t xml:space="preserve"> commission may debar a business only after a hearing or opportunity for hearing pursuant to contested case procedure in SDCL chapter 1-26 has been provided for the business.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154, effective April 11, 1993; 40 SDR 121, effective January 6, 2014</w:t>
      </w:r>
      <w:r>
        <w:rPr>
          <w:rFonts w:ascii="Times New Roman" w:hAnsi="Times New Roman"/>
          <w:sz w:val="24"/>
        </w:rPr>
        <w:t>; 47 SDR 38,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2014-01-17T15:43:00Z</dcterms:created>
  <cp:lastModifiedBy>Rhonda Purkapile</cp:lastModifiedBy>
  <dcterms:modified xsi:type="dcterms:W3CDTF">2020-09-29T16:37:19Z</dcterms:modified>
  <cp:revision>3</cp:revision>
</cp:coreProperties>
</file>