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jc w:val="both"/>
      </w:pPr>
      <w:r>
        <w:tab/>
      </w:r>
      <w:r>
        <w:rPr>
          <w:b w:val="1"/>
        </w:rPr>
        <w:t>70:09:01:07.  Traffic impact study requirement.</w:t>
      </w:r>
      <w:r>
        <w:t xml:space="preserve"> The area engineer may require a traffic impact study with any application for access to a property that will generate </w:t>
      </w:r>
      <w:r>
        <w:rPr>
          <w:lang w:val="en-US" w:bidi="en-US" w:eastAsia="en-US"/>
        </w:rPr>
        <w:t>one hundred</w:t>
      </w:r>
      <w:r>
        <w:t xml:space="preserve"> or more peak hour trips. </w:t>
      </w:r>
      <w:r>
        <w:rPr>
          <w:lang w:val="en-US" w:bidi="en-US" w:eastAsia="en-US"/>
        </w:rPr>
        <w:t>A peak hour trip means the movement of one v</w:t>
      </w:r>
      <w:r>
        <w:rPr>
          <w:lang w:val="en-US" w:bidi="en-US" w:eastAsia="en-US"/>
        </w:rPr>
        <w:t>ehicle to or from a point during the hour of a t</w:t>
      </w:r>
      <w:r>
        <w:rPr>
          <w:lang w:val="en-US" w:bidi="en-US" w:eastAsia="en-US"/>
        </w:rPr>
        <w:t xml:space="preserve">ypical day containing the maximum </w:t>
      </w:r>
      <w:r>
        <w:rPr>
          <w:lang w:val="en-US" w:bidi="en-US" w:eastAsia="en-US"/>
        </w:rPr>
        <w:t xml:space="preserve">vehicular volume on the street. </w:t>
      </w:r>
      <w:r>
        <w:t xml:space="preserve">The area engineer shall determine the scope of the study, considering probable operational and safety impacts to the general street system. The study </w:t>
      </w:r>
      <w:r>
        <w:rPr>
          <w:lang w:val="en-US" w:bidi="en-US" w:eastAsia="en-US"/>
        </w:rPr>
        <w:t>must</w:t>
      </w:r>
      <w:r>
        <w:t xml:space="preserve"> determine what improvements may be necessary to maintain arterial level of service "C", as defined</w:t>
      </w:r>
      <w:r>
        <w:t xml:space="preserve"> in the </w:t>
      </w:r>
      <w:r>
        <w:rPr>
          <w:b w:val="0"/>
        </w:rPr>
        <w:t>Highway Capacity Manual</w:t>
      </w:r>
      <w:r>
        <w:t xml:space="preserve">, </w:t>
      </w:r>
      <w:r>
        <w:rPr>
          <w:lang w:val="en-US" w:bidi="en-US" w:eastAsia="en-US"/>
        </w:rPr>
        <w:t>Seventh Edition</w:t>
      </w:r>
      <w:r>
        <w:t xml:space="preserve">, under the traffic conditions expected with the proposed development under consideration. A professional engineer with specific experience in traffic operations analysis shall perform the study. The study </w:t>
      </w:r>
      <w:r>
        <w:rPr>
          <w:lang w:val="en-US" w:bidi="en-US" w:eastAsia="en-US"/>
        </w:rPr>
        <w:t>must</w:t>
      </w:r>
      <w:r>
        <w:t xml:space="preserve"> be sealed by a South Dakota registered professional engineer. The study </w:t>
      </w:r>
      <w:r>
        <w:rPr>
          <w:lang w:val="en-US" w:bidi="en-US" w:eastAsia="en-US"/>
        </w:rPr>
        <w:t>must</w:t>
      </w:r>
      <w:r>
        <w:t xml:space="preserve"> examine the functional relationships among existing, planned, and potential access points and </w:t>
      </w:r>
      <w:r>
        <w:rPr>
          <w:lang w:val="en-US" w:bidi="en-US" w:eastAsia="en-US"/>
        </w:rPr>
        <w:t>must</w:t>
      </w:r>
      <w:r>
        <w:t xml:space="preserve"> use policies and design manual standards and guidance jointly determined by the department and the applicant.</w:t>
      </w:r>
    </w:p>
    <w:p>
      <w:pPr>
        <w:jc w:val="both"/>
      </w:pPr>
    </w:p>
    <w:p>
      <w:pPr>
        <w:jc w:val="both"/>
      </w:pPr>
      <w:r>
        <w:tab/>
      </w:r>
      <w:r>
        <w:rPr>
          <w:b w:val="1"/>
        </w:rPr>
        <w:t>Source:</w:t>
      </w:r>
      <w:r>
        <w:t xml:space="preserve"> 29 SDR 66, effective November 18, 2002</w:t>
      </w:r>
      <w:r>
        <w:rPr>
          <w:lang w:val="en-US" w:bidi="en-US" w:eastAsia="en-US"/>
        </w:rPr>
        <w:t>; 51 SDR 52, effective November 11, 2024</w:t>
      </w:r>
      <w:r>
        <w:t>.</w:t>
      </w:r>
    </w:p>
    <w:p>
      <w:pPr>
        <w:jc w:val="both"/>
      </w:pPr>
      <w:r>
        <w:tab/>
      </w:r>
      <w:r>
        <w:rPr>
          <w:b w:val="1"/>
        </w:rPr>
        <w:t>General Authority:</w:t>
      </w:r>
      <w:r>
        <w:t xml:space="preserve"> SDCL 11-3-12.2.</w:t>
      </w:r>
    </w:p>
    <w:p>
      <w:pPr>
        <w:jc w:val="both"/>
      </w:pPr>
      <w:r>
        <w:tab/>
      </w:r>
      <w:r>
        <w:rPr>
          <w:b w:val="1"/>
        </w:rPr>
        <w:t>Law Implemented:</w:t>
      </w:r>
      <w:r>
        <w:t xml:space="preserve"> SDCL 11-3-12.2.</w:t>
      </w:r>
    </w:p>
    <w:p>
      <w:pPr>
        <w:jc w:val="both"/>
      </w:pPr>
    </w:p>
    <w:p>
      <w:pPr>
        <w:jc w:val="both"/>
      </w:pPr>
      <w:r>
        <w:tab/>
      </w:r>
      <w:r>
        <w:rPr>
          <w:b w:val="1"/>
          <w:color w:val="000000"/>
          <w:u w:val="none"/>
        </w:rPr>
        <w:t>Reference:</w:t>
      </w:r>
      <w:r>
        <w:rPr>
          <w:color w:val="000000"/>
          <w:u w:val="none"/>
        </w:rPr>
        <w:t xml:space="preserve"> </w:t>
      </w:r>
      <w:r>
        <w:rPr>
          <w:b w:val="1"/>
          <w:color w:val="000000"/>
          <w:u w:val="none"/>
        </w:rPr>
        <w:t>Highway Capacity Manual</w:t>
      </w:r>
      <w:r>
        <w:rPr>
          <w:color w:val="000000"/>
          <w:u w:val="none"/>
        </w:rPr>
        <w:t>,</w:t>
      </w:r>
      <w:r>
        <w:rPr>
          <w:color w:val="000000"/>
          <w:u w:val="none"/>
        </w:rPr>
        <w:t xml:space="preserve"> </w:t>
      </w:r>
      <w:r>
        <w:rPr>
          <w:b w:val="1"/>
          <w:color w:val="000000"/>
          <w:u w:val="none"/>
        </w:rPr>
        <w:t>Seventh Edition</w:t>
      </w:r>
      <w:r>
        <w:rPr>
          <w:color w:val="000000"/>
          <w:u w:val="none"/>
        </w:rPr>
        <w:t>, 2022, Transportation Research Board of the National Academies of Sciences, Engineering, and Medicine</w:t>
      </w:r>
      <w:r>
        <w:rPr>
          <w:color w:val="000000"/>
          <w:u w:val="none"/>
        </w:rPr>
        <w:t xml:space="preserve">. Copies may be obtained at: </w:t>
      </w:r>
      <w:hyperlink xmlns:r="http://schemas.openxmlformats.org/officeDocument/2006/relationships" r:id="R2">
        <w:r>
          <w:rPr>
            <w:rStyle w:val="C2"/>
            <w:u/>
          </w:rPr>
          <w:t>https://nap.nationalacademies.org/catalog/26432/highway-capacity-manual-7th-edition-a-guide-for-multimodal-mobility</w:t>
        </w:r>
      </w:hyperlink>
      <w:r>
        <w:rPr>
          <w:color w:val="000000"/>
          <w:u w:val="none"/>
        </w:rPr>
        <w:t>. Cost:</w:t>
      </w:r>
      <w:r>
        <w:rPr>
          <w:color w:val="000000"/>
          <w:u w:val="none"/>
        </w:rPr>
        <w:t xml:space="preserve"> $250</w:t>
      </w:r>
      <w:r>
        <w:rPr>
          <w:color w:val="000000"/>
          <w:u w:val="none"/>
        </w:rPr>
        <w:t>.</w:t>
      </w:r>
    </w:p>
    <w:p>
      <w:pPr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</w:pPr>
    <w:rPr>
      <w:rFonts w:ascii="Times" w:hAnsi="Times"/>
      <w:sz w:val="24"/>
    </w:rPr>
  </w:style>
  <w:style w:type="paragraph" w:styleId="P1">
    <w:name w:val="Title"/>
    <w:basedOn w:val="P0"/>
    <w:link w:val="C3"/>
    <w:qFormat/>
    <w:pPr>
      <w:jc w:val="center"/>
    </w:pPr>
    <w:rPr>
      <w:rFonts w:ascii="Times New Roman" w:hAnsi="Times New Roman"/>
      <w:b w:val="1"/>
    </w:rPr>
  </w:style>
  <w:style w:type="paragraph" w:styleId="P2">
    <w:name w:val="Body Text"/>
    <w:basedOn w:val="P0"/>
    <w:link w:val="C4"/>
    <w:pPr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Title Char"/>
    <w:basedOn w:val="C0"/>
    <w:link w:val="P1"/>
    <w:rPr>
      <w:rFonts w:ascii="Times New Roman" w:hAnsi="Times New Roman"/>
      <w:b w:val="1"/>
    </w:rPr>
  </w:style>
  <w:style w:type="character" w:styleId="C4">
    <w:name w:val="Body Text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nap.nationalacademies.org/catalog/26432/highway-capacity-manual-7th-edition-a-guide-for-multimodal-mobility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2005-04-08T22:13:00Z</dcterms:created>
  <cp:lastModifiedBy>Kelly Thompson</cp:lastModifiedBy>
  <dcterms:modified xsi:type="dcterms:W3CDTF">2024-11-01T15:37:41Z</dcterms:modified>
  <cp:revision>5</cp:revision>
  <dc:title>ARTICLE 70:09</dc:title>
</cp:coreProperties>
</file>