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rPr>
            <w:b/>
          </w:rPr>
          <w:t>09:03</w:t>
        </w:r>
      </w:smartTag>
      <w:r>
        <w:rPr>
          <w:b/>
        </w:rPr>
        <w:t>:08.  Permittee responsible for maintenance of the access.</w:t>
      </w:r>
      <w:r>
        <w:t xml:space="preserve"> The permittee is responsible for the repair and maintenance of the access beyond the edge of the roadway including: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Surfacing;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Curb and gutter;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Cattle guard and gate;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Vegetation control;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Removal or clearance of snow or ice upon the access even though deposited on the access in the course of department snow removal operations;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Repair and replacement of any access-related culverts of 36-inch diameter or smaller within the right-of-way in unincorporated areas;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(7)  Obtaining department approval for all culvert repairs, drainage repairs, resurfacing, and changes in access design or configuration; and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(8)  Any other maintenance required for continued safe and satisfactory operation of the access point.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15EC1"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7A1DB8" w:rsidRDefault="007A1DB8" w:rsidP="00782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A1DB8" w:rsidSect="007A1DB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15EC1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29C3"/>
    <w:rsid w:val="007876F2"/>
    <w:rsid w:val="007A1DB8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9C3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139</Words>
  <Characters>796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2005-04-14T17:53:00Z</dcterms:created>
  <dcterms:modified xsi:type="dcterms:W3CDTF">2005-04-14T17:53:00Z</dcterms:modified>
</cp:coreProperties>
</file>