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74:02:01:12.06.  Published date of hearing.</w:t>
      </w:r>
      <w:r>
        <w:t xml:space="preserve"> For purposes of allowing the chief engineer to issue permits pursuant to SDCL 46-1-16 and 46-5-6.11 and to meet publication requirements, any day that is not a Saturday, Sunday, or legal holiday may be designated by the secretary of the Department of </w:t>
      </w:r>
      <w:r>
        <w:rPr>
          <w:lang w:val="en-US" w:bidi="en-US" w:eastAsia="en-US"/>
        </w:rPr>
        <w:t>Agri</w:t>
      </w:r>
      <w:r>
        <w:rPr>
          <w:lang w:val="en-US" w:bidi="en-US" w:eastAsia="en-US"/>
        </w:rPr>
        <w:t>cu</w:t>
      </w:r>
      <w:r>
        <w:rPr>
          <w:lang w:val="en-US" w:bidi="en-US" w:eastAsia="en-US"/>
        </w:rPr>
        <w:t>lture</w:t>
      </w:r>
      <w:r>
        <w:t xml:space="preserve"> and Natural Resources as a board meeting date. The published date of hearing for applications must be at least 20 days after the publication of the notice. The published notice must include a statement that the hearing may be rescheduled if a petition opposing the application is received or the chief engineer's recommendation is contested.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Source:</w:t>
      </w:r>
      <w:r>
        <w:t xml:space="preserve"> 17 SDR 51, effective October 11, 1990; 39 SDR 37, effective September 10, 2012</w:t>
      </w:r>
      <w:r>
        <w:rPr>
          <w:rFonts w:ascii="Times New Roman" w:hAnsi="Times New Roman"/>
          <w:sz w:val="24"/>
          <w:lang w:val="en-US" w:bidi="en-US" w:eastAsia="en-US"/>
        </w:rPr>
        <w:t xml:space="preserve">; SL 2021, ch 1, </w:t>
      </w:r>
      <w:r>
        <w:rPr>
          <w:rFonts w:ascii="Times New Roman" w:hAnsi="Times New Roman"/>
          <w:sz w:val="24"/>
          <w:lang w:val="en-US" w:bidi="en-US" w:eastAsia="en-US"/>
        </w:rPr>
        <w:t>§</w:t>
      </w:r>
      <w:r>
        <w:rPr>
          <w:rFonts w:ascii="Times New Roman" w:hAnsi="Times New Roman"/>
          <w:sz w:val="24"/>
          <w:lang w:val="en-US" w:bidi="en-US" w:eastAsia="en-US"/>
        </w:rPr>
        <w:t xml:space="preserve">§ </w:t>
      </w:r>
      <w:r>
        <w:rPr>
          <w:rFonts w:ascii="Times New Roman" w:hAnsi="Times New Roman"/>
          <w:sz w:val="24"/>
          <w:lang w:val="en-US" w:bidi="en-US" w:eastAsia="en-US"/>
        </w:rPr>
        <w:t>8</w:t>
      </w:r>
      <w:r>
        <w:rPr>
          <w:rFonts w:ascii="Times New Roman" w:hAnsi="Times New Roman"/>
          <w:sz w:val="24"/>
          <w:lang w:val="en-US" w:bidi="en-US" w:eastAsia="en-US"/>
        </w:rPr>
        <w:t>, 19, effective April 19, 2021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General Authority:</w:t>
      </w:r>
      <w:r>
        <w:t xml:space="preserve"> SDCL 46-1-16, 46-2-3.1, 46-2-5.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  <w:r>
        <w:tab/>
      </w:r>
      <w:r>
        <w:rPr>
          <w:b w:val="1"/>
        </w:rPr>
        <w:t>Law Implemented:</w:t>
      </w:r>
      <w:r>
        <w:t xml:space="preserve"> SDCL 1-40-18, 46-1-16, 46-2A-4, 46-2A-5, 46-5-6.11.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splitPgBreakAndParaMark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sz w:val="24"/>
      <w:szCs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Pirnat, Marge</dc:creator>
  <dcterms:created xsi:type="dcterms:W3CDTF">2012-09-10T20:31:00Z</dcterms:created>
  <cp:lastModifiedBy>Rhonda Purkapile</cp:lastModifiedBy>
  <cp:lastPrinted>2012-09-10T20:31:00Z</cp:lastPrinted>
  <dcterms:modified xsi:type="dcterms:W3CDTF">2021-03-22T19:23:01Z</dcterms:modified>
  <cp:revision>2</cp:revision>
</cp:coreProperties>
</file>