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C99" w:rsidRDefault="00285C99" w:rsidP="00AE70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74:02:01:21.  Application procedure for vested right claim -- Validation of claim.</w:t>
      </w:r>
      <w:r>
        <w:rPr>
          <w:rFonts w:ascii="Times New Roman" w:hAnsi="Times New Roman"/>
          <w:sz w:val="24"/>
        </w:rPr>
        <w:t xml:space="preserve"> As far as practicable, the vested right claim application must conform to the procedures contained in SDCL 46-2A-1 to 46-2A-7, inclusive, and with §§ 74:02:01:06 to 74:02:01:10, inclusive. If the vested right claim is contested, the board shall decide by majority vote after a hearing if the claim is to be validated. If the claim is uncontested, the chief engineer may issue the validated vested right on behalf of the board pursuant to § 74:02:01:12.03. The board or chief engineer may return the application to the claimant for additional information to support the claim.</w:t>
      </w:r>
    </w:p>
    <w:p w:rsidR="00285C99" w:rsidRDefault="00285C99" w:rsidP="00AE70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85C99" w:rsidRDefault="00285C99" w:rsidP="00AE70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52:01:01:19, effective July 1, 1979; 9 SDR 96, effective January 30, 1983; 13 SDR 49, effective October 27, 1986; 13 SDR 186, effective June 18, 1987; 13 SDR 129, 13 SDR 141, effective July 1, 1987; 20 SDR 53, effective October 20, 1993.</w:t>
      </w:r>
    </w:p>
    <w:p w:rsidR="00285C99" w:rsidRDefault="00285C99" w:rsidP="00AE70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46-1-16, 46-2-3.1, 46-2-5.</w:t>
      </w:r>
    </w:p>
    <w:p w:rsidR="00285C99" w:rsidRDefault="00285C99" w:rsidP="00AE70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46-1-9, 46-1-10, 46-1-15, 46-1-16, 46-2-3.1, 46-2A-23, 46-5-6.11, 46-5-49, 46-6-1, 46-6-2.</w:t>
      </w:r>
    </w:p>
    <w:p w:rsidR="00285C99" w:rsidRDefault="00285C99" w:rsidP="00AE704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85C99" w:rsidSect="00285C9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5C99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AE7041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7041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166</Words>
  <Characters>949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2005-03-31T17:08:00Z</dcterms:created>
  <dcterms:modified xsi:type="dcterms:W3CDTF">2005-03-31T17:08:00Z</dcterms:modified>
</cp:coreProperties>
</file>