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8C6125" Type="http://schemas.openxmlformats.org/officeDocument/2006/relationships/officeDocument" Target="/word/document.xml" /><Relationship Id="coreR78C612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1"/>
        <w:ind w:firstLine="0" w:left="0"/>
      </w:pPr>
      <w:r>
        <w:rPr>
          <w:b w:val="1"/>
        </w:rPr>
        <w:tab/>
        <w:t>74:04:12:31.  Enhanced filtration and disinfection -- Composite correction program requirements.</w:t>
      </w:r>
      <w:r>
        <w:t xml:space="preserve"> A water system that is in violation of 40 C.F.R. § 141.175(b)(3) (July 1, 20</w:t>
      </w:r>
      <w:r>
        <w:rPr>
          <w:lang w:val="en-US" w:bidi="en-US" w:eastAsia="en-US"/>
        </w:rPr>
        <w:t>18</w:t>
      </w:r>
      <w:r>
        <w:t>) shall perform the comprehensive performance evaluation (CPE) component of a composite correction program (CCP) as defined in 40 C.F.R. § 141.2 (July 1, 20</w:t>
      </w:r>
      <w:r>
        <w:rPr>
          <w:lang w:val="en-US" w:bidi="en-US" w:eastAsia="en-US"/>
        </w:rPr>
        <w:t>18</w:t>
      </w:r>
      <w:r>
        <w:t>).</w:t>
      </w:r>
    </w:p>
    <w:p>
      <w:pPr>
        <w:pStyle w:val="P1"/>
        <w:ind w:firstLine="0" w:left="0"/>
      </w:pPr>
    </w:p>
    <w:p>
      <w:pPr>
        <w:pStyle w:val="P1"/>
        <w:ind w:firstLine="0" w:left="0"/>
      </w:pPr>
      <w:r>
        <w:tab/>
        <w:t>The department may require a water system to perform a CCP or one of its components if significant deficiencies are identified in a sanitary survey report or other situations that pose a hazard to public health. A water system required to perform a CCP shall implement the follow-up recommendations specified in the CPE report.</w:t>
      </w:r>
    </w:p>
    <w:p>
      <w:pPr>
        <w:pStyle w:val="P1"/>
        <w:ind w:firstLine="0" w:left="0"/>
      </w:pPr>
    </w:p>
    <w:p>
      <w:pPr>
        <w:pStyle w:val="P1"/>
        <w:ind w:firstLine="0" w:left="0"/>
      </w:pPr>
      <w:r>
        <w:tab/>
        <w:t>The department may approve third-parties for use by public water systems that are required to perform CCP activities.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Source:</w:t>
      </w:r>
      <w:r>
        <w:rPr>
          <w:sz w:val="24"/>
        </w:rPr>
        <w:t xml:space="preserve"> 31 SDR 21, effective August 24, 2004; 36 SDR 111, effective January 11, 2010</w:t>
      </w:r>
      <w:r>
        <w:rPr>
          <w:rFonts w:ascii="Times New Roman" w:hAnsi="Times New Roman"/>
          <w:sz w:val="24"/>
        </w:rPr>
        <w:t>; 45 SDR 159, effective July 1, 2019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General Authority:</w:t>
      </w:r>
      <w:r>
        <w:rPr>
          <w:sz w:val="24"/>
        </w:rPr>
        <w:t xml:space="preserve"> SDCL 34A-3A-3.</w:t>
      </w:r>
    </w:p>
    <w:p>
      <w:pPr>
        <w:pStyle w:val="P1"/>
        <w:ind w:firstLine="0" w:left="0"/>
      </w:pPr>
      <w:r>
        <w:rPr>
          <w:b w:val="1"/>
        </w:rPr>
        <w:tab/>
        <w:t>Law Implemented:</w:t>
      </w:r>
      <w:r>
        <w:t xml:space="preserve"> SDCL 34A-3A-3(2), 34A-3A-4(3).</w:t>
      </w:r>
    </w:p>
    <w:p>
      <w:pPr>
        <w:pStyle w:val="P1"/>
        <w:ind w:firstLine="0" w:left="0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b w:val="1"/>
          <w:sz w:val="24"/>
        </w:rPr>
      </w:pPr>
      <w:r>
        <w:rPr>
          <w:b w:val="1"/>
          <w:sz w:val="24"/>
        </w:rPr>
        <w:tab/>
        <w:t xml:space="preserve">Cross Reference: </w:t>
      </w:r>
      <w:r>
        <w:rPr>
          <w:sz w:val="24"/>
        </w:rPr>
        <w:t>Sanitary surveys, ch 74:04:11.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b w:val="1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 Indent 2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Indent 2 Char"/>
    <w:basedOn w:val="C0"/>
    <w:link w:val="P1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2010-01-05T16:10:00Z</dcterms:created>
  <cp:lastModifiedBy>Rhonda Purkapile</cp:lastModifiedBy>
  <dcterms:modified xsi:type="dcterms:W3CDTF">2019-07-01T18:52:57Z</dcterms:modified>
  <cp:revision>3</cp:revision>
</cp:coreProperties>
</file>