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74:05:10:01.  Definitions.</w:t>
      </w:r>
      <w:r>
        <w:t xml:space="preserve"> Words defined in SDCL 34A-6-1.3, 46A-1-3, and 46A-2-4 have the same meaning when used in this chapter unless they are defined otherwise in this section.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"Applicant," the entity or individual applying for a grant or loan to conduct a solid waste management project;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"Award," grant or loan funds awarded by the board for a solid waste management project pursuant to SDCL 46A-1-83 and 46A-1-84;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"Board," the South Dakota Board of Water and Natural Resources acting as that board or as the South Dakota Conservancy District;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  "Construction," actual installation of the project, including preparation of final plans, designs, specifications, and equipment purchases;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(5)  "Department," the South Dakota Department of </w:t>
      </w:r>
      <w:r>
        <w:rPr>
          <w:lang w:val="en-US" w:bidi="en-US" w:eastAsia="en-US"/>
        </w:rPr>
        <w:t>Agriculture</w:t>
      </w:r>
      <w:r>
        <w:t xml:space="preserve"> and Natural Resources;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  "Designated agent," a person or entity specifically designated by resolution of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(7)  "Incineration facilities," facilities using one or more furnaces to burn solid waste to reduce the volume of the waste by removing its combustible material;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(8)  "In-kind contributions," work or materials provided without a cash outlay that can be used as local match;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(9)  "Nonprofit corporation," a nonprofit corporation formed pursuant to SDCL chapter 47-22;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(10)  "Proposal," an application for a solid waste management program award for the purpose of planning, constructing, or operating a solid waste management project or for the purchasing of equipment;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(11)  "Recipient," the entity or individual receiving grant or loan funds;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(12)  "Recycling," as defined in SDCL 34A-6-61(16);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(13)  "Secretary," the secretary of the South Dakota Department of </w:t>
      </w:r>
      <w:r>
        <w:rPr>
          <w:lang w:val="en-US" w:bidi="en-US" w:eastAsia="en-US"/>
        </w:rPr>
        <w:t>Agriculture</w:t>
      </w:r>
      <w:r>
        <w:t xml:space="preserve"> and Natural Resources or a designated representative of the secretary.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17 SDR 7, effective July 22, 1990; 19 SDR 61, October 25, 1992; 21 SDR 97, effective November 28, 1994; 23 SDR 12, effective July 30, 1996; 33 SDR 106, effective December 26, 2006; 40 SDR 14, effective July 29, 2013</w:t>
      </w:r>
      <w:r>
        <w:rPr>
          <w:rFonts w:ascii="Times New Roman" w:hAnsi="Times New Roman"/>
          <w:sz w:val="24"/>
        </w:rPr>
        <w:t>; SL 2021, ch 1, §§ 8, 19, effective April 19, 2021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46A-1-84.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46A-1-83.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2013-07-29T19:10:00Z</dcterms:created>
  <cp:lastModifiedBy>Rhonda Purkapile</cp:lastModifiedBy>
  <dcterms:modified xsi:type="dcterms:W3CDTF">2021-03-23T19:59:29Z</dcterms:modified>
  <cp:revision>4</cp:revision>
</cp:coreProperties>
</file>