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82687">
        <w:rPr>
          <w:rFonts w:ascii="Times New Roman" w:hAnsi="Times New Roman"/>
          <w:b/>
          <w:sz w:val="24"/>
        </w:rPr>
        <w:t>74:</w:t>
      </w:r>
      <w:smartTag w:uri="urn:schemas-microsoft-com:office:smarttags" w:element="time">
        <w:smartTagPr>
          <w:attr w:name="Minute" w:val="12"/>
          <w:attr w:name="Hour" w:val="17"/>
        </w:smartTagPr>
        <w:r w:rsidRPr="00082687">
          <w:rPr>
            <w:rFonts w:ascii="Times New Roman" w:hAnsi="Times New Roman"/>
            <w:b/>
            <w:sz w:val="24"/>
          </w:rPr>
          <w:t>05:12</w:t>
        </w:r>
      </w:smartTag>
      <w:r w:rsidRPr="00082687">
        <w:rPr>
          <w:rFonts w:ascii="Times New Roman" w:hAnsi="Times New Roman"/>
          <w:b/>
          <w:sz w:val="24"/>
        </w:rPr>
        <w:t>:12.  Assistance agreements.</w:t>
      </w:r>
      <w:r>
        <w:rPr>
          <w:rFonts w:ascii="Times New Roman" w:hAnsi="Times New Roman"/>
          <w:sz w:val="24"/>
        </w:rPr>
        <w:t xml:space="preserve">  If a brownfields revolving loan subfund assistance application is approved for funding, the board shall execute an assistance agreement with the recipient.  The board shall establish the terms and conditions in the assistance agreement.  Assistance agreements for loans and grants may include the following requirements of the recipient:</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To acquire all property rights necessary for the project including rights-of-way and interest in land needed for the construction, operation, and maintenance of the project; to furnish title insurance, a title opinion, or other documents showing the ownership of the land, mortgages, encumbrances, or other lien defects; and to obtain and record the releases, consents, or subordinations to the property rights for holders of outstanding liens or other instruments as necessary for the construction, operation, and maintenance of the project;</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To provide security for loans as required in § 74:</w:t>
      </w:r>
      <w:smartTag w:uri="urn:schemas-microsoft-com:office:smarttags" w:element="time">
        <w:smartTagPr>
          <w:attr w:name="Minute" w:val="12"/>
          <w:attr w:name="Hour" w:val="17"/>
        </w:smartTagPr>
        <w:r>
          <w:rPr>
            <w:rFonts w:ascii="Times New Roman" w:hAnsi="Times New Roman"/>
            <w:sz w:val="24"/>
          </w:rPr>
          <w:t>05:12:13</w:t>
        </w:r>
      </w:smartTag>
      <w:r>
        <w:rPr>
          <w:rFonts w:ascii="Times New Roman" w:hAnsi="Times New Roman"/>
          <w:sz w:val="24"/>
        </w:rPr>
        <w:t>;</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To provide for the receipt of revenues sufficient to meet the requirements of debt service, operation, and maintenance and to establish reserves in an amount sufficient to ensure that expenses and payments are paid on time for loan installments, emergency maintenance, and replacement of assets that have a useful life less than the repayment period of the loan;</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To acquire and maintain insurance coverage, including fidelity bonds;</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To establish and maintain books and records relating to the construction and operation of the project and its financial affairs;</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To provide the secretary access to all books and records relating to the project and access to the property of the system so that the secretary may ascertain whether the recipient is complying with the provisions of this chapter and with the funding agreement;</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To use funds that remain available after all costs of the project have been paid for needed extensions, enlargements, and improvements of the project with the written permission of the board;</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Not to sell, transfer, lease, or otherwise encumber the project, any portion of the project, or interest in the project to a public or private entity without the prior written consent of the board while the funding agreement is in effect;</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If the undertaking would obligate the source of funds pledged to repay the assistance agreement, to agree not to borrow money from any source, enter into any agreement, or incur other liabilities in connection with the project, exclusive of normal maintenance, without the prior written consent of the board;</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To agree that upon default in the payments of principal and accrued interest on the loan or in the performance of any covenant or condition, the board may, at its option, do one or more of the following:</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Declare immediately due and payable the entire principal amount then outstanding and the accrued interest and all costs associated with collection of the outstanding balance;</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For the account of the borrower incur and pay reasonable expenses for repair, maintenance, and operation of the project and other expenses necessary to cure the cause of default;</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Take possession of the project, repair, maintain, operate, sell, lease, or otherwise dispose of the project to another entity; and</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To secure written approval from the secretary for any changes or modifications in the plans of a project before or during construction according to conditions and specifications set forth in the funding agreement.</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board may amend assistance agreements as it considers necessary and circumstances warrant.</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17BFB">
        <w:rPr>
          <w:rFonts w:ascii="Times New Roman" w:hAnsi="Times New Roman"/>
          <w:b/>
          <w:sz w:val="24"/>
        </w:rPr>
        <w:t>Source:</w:t>
      </w:r>
      <w:r>
        <w:rPr>
          <w:rFonts w:ascii="Times New Roman" w:hAnsi="Times New Roman"/>
          <w:sz w:val="24"/>
        </w:rPr>
        <w:t xml:space="preserve"> 31 SDR 94, effective </w:t>
      </w:r>
      <w:smartTag w:uri="urn:schemas-microsoft-com:office:smarttags" w:element="date">
        <w:smartTagPr>
          <w:attr w:name="Year" w:val="2005"/>
          <w:attr w:name="Day" w:val="5"/>
          <w:attr w:name="Month" w:val="1"/>
        </w:smartTagPr>
        <w:r>
          <w:rPr>
            <w:rFonts w:ascii="Times New Roman" w:hAnsi="Times New Roman"/>
            <w:sz w:val="24"/>
          </w:rPr>
          <w:t>January 5, 2005</w:t>
        </w:r>
      </w:smartTag>
      <w:r>
        <w:rPr>
          <w:rFonts w:ascii="Times New Roman" w:hAnsi="Times New Roman"/>
          <w:sz w:val="24"/>
        </w:rPr>
        <w:t>.</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17BFB">
        <w:rPr>
          <w:rFonts w:ascii="Times New Roman" w:hAnsi="Times New Roman"/>
          <w:b/>
          <w:sz w:val="24"/>
        </w:rPr>
        <w:t>General Authority:</w:t>
      </w:r>
      <w:r>
        <w:rPr>
          <w:rFonts w:ascii="Times New Roman" w:hAnsi="Times New Roman"/>
          <w:sz w:val="24"/>
        </w:rPr>
        <w:t xml:space="preserve"> SDCL 46A-1-102, 46A-1-103.</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17BFB">
        <w:rPr>
          <w:rFonts w:ascii="Times New Roman" w:hAnsi="Times New Roman"/>
          <w:b/>
          <w:sz w:val="24"/>
        </w:rPr>
        <w:t>Law Implemented:</w:t>
      </w:r>
      <w:r>
        <w:rPr>
          <w:rFonts w:ascii="Times New Roman" w:hAnsi="Times New Roman"/>
          <w:sz w:val="24"/>
        </w:rPr>
        <w:t xml:space="preserve"> SDCL 46A-1-100 to 46A-1-106, inclusive.</w:t>
      </w:r>
    </w:p>
    <w:p w:rsidR="007211E8" w:rsidRDefault="007211E8" w:rsidP="001B1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211E8" w:rsidSect="007211E8">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82687"/>
    <w:rsid w:val="0009086D"/>
    <w:rsid w:val="000C4FB1"/>
    <w:rsid w:val="00102B50"/>
    <w:rsid w:val="00117BFB"/>
    <w:rsid w:val="00120883"/>
    <w:rsid w:val="00140186"/>
    <w:rsid w:val="00173CB5"/>
    <w:rsid w:val="001B1007"/>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211E8"/>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100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567</Words>
  <Characters>3233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2005-04-04T19:55:00Z</dcterms:created>
  <dcterms:modified xsi:type="dcterms:W3CDTF">2005-04-04T19:56:00Z</dcterms:modified>
</cp:coreProperties>
</file>