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E033D"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2"/>
          <w:attr w:name="Hour" w:val="17"/>
        </w:smartTagPr>
        <w:r w:rsidRPr="00FE033D">
          <w:rPr>
            <w:rFonts w:ascii="Times New Roman" w:hAnsi="Times New Roman"/>
            <w:b/>
            <w:sz w:val="24"/>
          </w:rPr>
          <w:t>05:12</w:t>
        </w:r>
      </w:smartTag>
      <w:r w:rsidRPr="00FE033D">
        <w:rPr>
          <w:rFonts w:ascii="Times New Roman" w:hAnsi="Times New Roman"/>
          <w:b/>
          <w:sz w:val="24"/>
        </w:rPr>
        <w:t>:16.  Time restrictions.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The recipient shall expend the brownfields revolving loan subfund funds awarded to it within three years from the date the board approved the application for funding.</w:t>
      </w:r>
    </w:p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94, effective </w:t>
      </w:r>
      <w:smartTag w:uri="urn:schemas-microsoft-com:office:smarttags" w:element="date">
        <w:smartTagPr>
          <w:attr w:name="Year" w:val="2005"/>
          <w:attr w:name="Day" w:val="5"/>
          <w:attr w:name="Month" w:val="1"/>
        </w:smartTagPr>
        <w:r>
          <w:rPr>
            <w:rFonts w:ascii="Times New Roman" w:hAnsi="Times New Roman"/>
            <w:sz w:val="24"/>
          </w:rPr>
          <w:t>January 5, 2005</w:t>
        </w:r>
      </w:smartTag>
      <w:r>
        <w:rPr>
          <w:rFonts w:ascii="Times New Roman" w:hAnsi="Times New Roman"/>
          <w:sz w:val="24"/>
        </w:rPr>
        <w:t>.</w:t>
      </w:r>
    </w:p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46A-1-102, 46A-1-103.</w:t>
      </w:r>
    </w:p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46A-1-100 to 46A-1-106, inclusive.</w:t>
      </w:r>
    </w:p>
    <w:p w:rsidR="00DB40FC" w:rsidRDefault="00DB40FC" w:rsidP="00422A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B40FC" w:rsidSect="00DB40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17BFB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22A4C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0F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E033D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4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2005-04-04T19:59:00Z</dcterms:created>
  <dcterms:modified xsi:type="dcterms:W3CDTF">2005-04-04T19:59:00Z</dcterms:modified>
</cp:coreProperties>
</file>