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74:15</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LITTER DISPOSAL AND CONTROL</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74:15:01</w:t>
      </w:r>
      <w:r>
        <w:rPr>
          <w:rFonts w:ascii="Times New Roman" w:hAnsi="Times New Roman"/>
          <w:sz w:val="24"/>
        </w:rPr>
        <w:tab/>
      </w:r>
      <w:r>
        <w:rPr>
          <w:rFonts w:ascii="Times New Roman" w:hAnsi="Times New Roman"/>
          <w:sz w:val="24"/>
        </w:rPr>
        <w:tab/>
      </w:r>
      <w:r>
        <w:rPr>
          <w:rFonts w:ascii="Times New Roman" w:hAnsi="Times New Roman"/>
          <w:sz w:val="24"/>
        </w:rPr>
        <w:tab/>
        <w:t>Beverage container disposal.</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74:15:01</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BEVERAGE CONTAINER DISPOSAL</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74:15:01:01</w:t>
      </w:r>
      <w:r>
        <w:rPr>
          <w:rFonts w:ascii="Times New Roman" w:hAnsi="Times New Roman"/>
          <w:sz w:val="24"/>
        </w:rPr>
        <w:tab/>
      </w:r>
      <w:r>
        <w:rPr>
          <w:rFonts w:ascii="Times New Roman" w:hAnsi="Times New Roman"/>
          <w:sz w:val="24"/>
        </w:rPr>
        <w:tab/>
        <w:t>Standards.</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74:15:01:01.  Standards.</w:t>
      </w:r>
      <w:r>
        <w:rPr>
          <w:rFonts w:ascii="Times New Roman" w:hAnsi="Times New Roman"/>
          <w:sz w:val="24"/>
        </w:rPr>
        <w:t xml:space="preserve"> Standards for beverage containers are as follows:</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"Biodegradable," a beverage container which breaks down into its basic compounds within one year when left outside;</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"Reusable," a beverage container as follows:</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Which is designed to be filled with beverages more than once; or</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For which a bounty, reward, or deposit is offered or required;</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"Recyclable," a beverage container as follows:</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Which is processed into raw materials or finished products after being used as a beverage container;</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Which may profitably be processed into raw materials or finished products after being used as a beverage container. Grants and subsidies may be included in determining whether a beverage container may profitably be processed into raw materials or finished products. It is not necessary that a beverage container actually be profitably processed into raw materials or finished products, only that the technology exist for doing so; or</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For which a bounty, reward, or deposit is offered or required.</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4 SDR 1, effective July 1, 1978; 12 SDR 151, 12 SDR 155, effective July 1, 1986; transferred from § 20:12:01:01, SL 1991, ch 17, § 22, effective April 11, 1991.</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34A-7-5.</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34A-7-5.</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Editor's Note:</w:t>
      </w:r>
      <w:r>
        <w:rPr>
          <w:rFonts w:ascii="Times New Roman" w:hAnsi="Times New Roman"/>
          <w:sz w:val="24"/>
        </w:rPr>
        <w:t xml:space="preserve"> The functions of the secretary of the Department of Commerce and Regulation pertaining to beverage containers were transferred to the secretary of the Department of Environment and Natural Resources by SL 1991, ch 17, § 22 (Executive Reorganization Order 91-4).</w:t>
      </w:r>
    </w:p>
    <w:p w:rsidR="00207ABC" w:rsidRDefault="00207A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sectPr w:rsidR="00207ABC" w:rsidSect="00207ABC">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07ABC"/>
    <w:rsid w:val="00207AB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207ABC"/>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254</Words>
  <Characters>1453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74 Article 15</dc:title>
  <dc:subject/>
  <dc:creator>Legislative Research Council</dc:creator>
  <cp:keywords/>
  <dc:description/>
  <cp:lastModifiedBy>LRPR14533</cp:lastModifiedBy>
  <cp:revision>1</cp:revision>
  <dcterms:created xsi:type="dcterms:W3CDTF">1997-09-15T22:57:00Z</dcterms:created>
  <dcterms:modified xsi:type="dcterms:W3CDTF">1999-06-09T15:59:00Z</dcterms:modified>
</cp:coreProperties>
</file>