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741" w:rsidRDefault="006D1741" w:rsidP="00D02B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74:27:12:07.  All-weather fill area.</w:t>
      </w:r>
      <w:r>
        <w:rPr>
          <w:rFonts w:ascii="Times New Roman" w:hAnsi="Times New Roman"/>
          <w:sz w:val="24"/>
        </w:rPr>
        <w:t xml:space="preserve"> Each facility open to the public must have an all-weather fill area for use during inclement weather.</w:t>
      </w:r>
    </w:p>
    <w:p w:rsidR="006D1741" w:rsidRDefault="006D1741" w:rsidP="00D02B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1741" w:rsidRDefault="006D1741" w:rsidP="00D02B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6D1741" w:rsidRDefault="006D1741" w:rsidP="00D02B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6D1741" w:rsidRDefault="006D1741" w:rsidP="00D02B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6D1741" w:rsidRDefault="006D1741" w:rsidP="00D02B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1741" w:rsidSect="006D174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D1741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2B43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2B43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2005-04-05T15:08:00Z</dcterms:created>
  <dcterms:modified xsi:type="dcterms:W3CDTF">2005-04-05T15:08:00Z</dcterms:modified>
</cp:coreProperties>
</file>