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74:27:12:09.  Public access control.</w:t>
      </w:r>
      <w:r>
        <w:rPr>
          <w:rFonts w:ascii="Times New Roman" w:hAnsi="Times New Roman"/>
          <w:sz w:val="24"/>
        </w:rPr>
        <w:t xml:space="preserve"> Public access to the site must be controlled through the use of fences, gates with locks, and similar controls.</w:t>
      </w:r>
    </w:p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>.</w:t>
      </w:r>
    </w:p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EC3B9F" w:rsidRDefault="00EC3B9F" w:rsidP="00260E4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C3B9F" w:rsidSect="00EC3B9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60E4E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C3B9F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E4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2005-04-05T15:08:00Z</dcterms:created>
  <dcterms:modified xsi:type="dcterms:W3CDTF">2005-04-05T15:08:00Z</dcterms:modified>
</cp:coreProperties>
</file>