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74:27:12:11.  Fire control.</w:t>
      </w:r>
      <w:r>
        <w:rPr>
          <w:rFonts w:ascii="Times New Roman" w:hAnsi="Times New Roman"/>
          <w:sz w:val="24"/>
        </w:rPr>
        <w:t xml:space="preserve"> MSWLFs must have a fire lane at least 25 feet wide around the active disposal area and within the perimeter fence. Other types of solid waste facilities must have fire lanes in conformance with local ordinances, if applicable.</w:t>
      </w:r>
    </w:p>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345C77" w:rsidRDefault="00345C77" w:rsidP="008352EB">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45C77" w:rsidSect="00345C77">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5C7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352EB"/>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52EB"/>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61</Words>
  <Characters>348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2005-04-05T15:08:00Z</dcterms:created>
  <dcterms:modified xsi:type="dcterms:W3CDTF">2005-04-05T15:08:00Z</dcterms:modified>
</cp:coreProperties>
</file>