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74:27:12:17.  Liner systems.</w:t>
      </w:r>
      <w:r>
        <w:rPr>
          <w:rFonts w:ascii="Times New Roman" w:hAnsi="Times New Roman"/>
          <w:sz w:val="24"/>
        </w:rPr>
        <w:t xml:space="preserve"> An applicant shall incorporate a composite liner system into the design of the MSWLFs unless the facility meets the small-town exemption criteria specified in § 74:27:</w:t>
      </w:r>
      <w:smartTag w:uri="urn:schemas-microsoft-com:office:smarttags" w:element="time">
        <w:smartTagPr>
          <w:attr w:name="Minute" w:val="25"/>
          <w:attr w:name="Hour" w:val="12"/>
        </w:smartTagPr>
        <w:r>
          <w:rPr>
            <w:rFonts w:ascii="Times New Roman" w:hAnsi="Times New Roman"/>
            <w:sz w:val="24"/>
          </w:rPr>
          <w:t>12:25</w:t>
        </w:r>
      </w:smartTag>
      <w:r>
        <w:rPr>
          <w:rFonts w:ascii="Times New Roman" w:hAnsi="Times New Roman"/>
          <w:sz w:val="24"/>
        </w:rPr>
        <w:t>. The secretary may require liner systems for other disposal facilities when the wastes have a potential to pollute groundwater or surface water. An alternative liner system may be approved by the secretary if the applicant can demonstrate compliance with the design criteria specified in § 74:27:</w:t>
      </w:r>
      <w:smartTag w:uri="urn:schemas-microsoft-com:office:smarttags" w:element="time">
        <w:smartTagPr>
          <w:attr w:name="Minute" w:val="2"/>
          <w:attr w:name="Hour" w:val="12"/>
        </w:smartTagPr>
        <w:r>
          <w:rPr>
            <w:rFonts w:ascii="Times New Roman" w:hAnsi="Times New Roman"/>
            <w:sz w:val="24"/>
          </w:rPr>
          <w:t>12:02</w:t>
        </w:r>
      </w:smartTag>
      <w:r>
        <w:rPr>
          <w:rFonts w:ascii="Times New Roman" w:hAnsi="Times New Roman"/>
          <w:sz w:val="24"/>
        </w:rPr>
        <w:t>. Liner systems must be constructed of materials that have the strength, thickness, and chemical properties needed to prevent failure due to pressure gradients, physical contact with the waste or leachate to which they are exposed, climatic conditions, stress of installation, and stress of daily operation. The board or secretary shall determine liner configuration and components case by case.</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Soil liner components must, at a minimum:</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Have a recompacted maximum coefficient of permeability of 1 x 10</w:t>
      </w:r>
      <w:r>
        <w:rPr>
          <w:rFonts w:ascii="Times New Roman" w:hAnsi="Times New Roman"/>
          <w:sz w:val="28"/>
          <w:vertAlign w:val="superscript"/>
        </w:rPr>
        <w:t>-7</w:t>
      </w:r>
      <w:r>
        <w:rPr>
          <w:rFonts w:ascii="Times New Roman" w:hAnsi="Times New Roman"/>
          <w:sz w:val="24"/>
        </w:rPr>
        <w:t xml:space="preserve"> centimeters per second;</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Have a two-foot compacted thickness placed in six-inch scarified and compacted lifts with no materials greater than three inches in diameter;</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Meet compaction specifications equivalent to 95 percent standard proctor density with a moisture content of 0</w:t>
      </w:r>
      <w:r>
        <w:t xml:space="preserve"> </w:t>
      </w:r>
      <w:r>
        <w:rPr>
          <w:rFonts w:ascii="Times New Roman" w:hAnsi="Times New Roman"/>
          <w:sz w:val="24"/>
        </w:rPr>
        <w:t>-</w:t>
      </w:r>
      <w:r>
        <w:t xml:space="preserve"> </w:t>
      </w:r>
      <w:r>
        <w:rPr>
          <w:rFonts w:ascii="Times New Roman" w:hAnsi="Times New Roman"/>
          <w:sz w:val="24"/>
        </w:rPr>
        <w:t>6 percent wet of optimum moisture;</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Have a minimum bottom slope of 2 percent;</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Have a twelve-inch protective drainage layer with a permeability greater than 1 x 10</w:t>
      </w:r>
      <w:r>
        <w:rPr>
          <w:rFonts w:ascii="Times New Roman" w:hAnsi="Times New Roman"/>
          <w:sz w:val="28"/>
          <w:vertAlign w:val="superscript"/>
        </w:rPr>
        <w:t>-3</w:t>
      </w:r>
      <w:r>
        <w:rPr>
          <w:rFonts w:ascii="Times New Roman" w:hAnsi="Times New Roman"/>
          <w:sz w:val="24"/>
        </w:rPr>
        <w:t xml:space="preserve"> centimeters per second placed over the soil liner;</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may require a test pad to document field permeability. The applicant shall use field testing methods approved by the secretary and shall take an undisturbed sample for laboratory comparison of field values.</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Flexible membrane liners (FMLs) must, at a minimum, be compatible with leachate, have a 60 mil thickness, have a life expectancy longer than the life of the facility, and be installed on a compacted soil liner of at least 2 percent slope. Installation of FMLs must be consistent with the manufacturer's specifications and recommendations.</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E536AF" w:rsidRDefault="00E536AF" w:rsidP="00FB44B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536AF" w:rsidSect="00E536A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36AF"/>
    <w:rsid w:val="00E5743D"/>
    <w:rsid w:val="00E904C1"/>
    <w:rsid w:val="00E9376F"/>
    <w:rsid w:val="00E95477"/>
    <w:rsid w:val="00EB6676"/>
    <w:rsid w:val="00ED31A6"/>
    <w:rsid w:val="00ED6F47"/>
    <w:rsid w:val="00F42587"/>
    <w:rsid w:val="00F51E44"/>
    <w:rsid w:val="00F7696E"/>
    <w:rsid w:val="00F84FC2"/>
    <w:rsid w:val="00FB44BB"/>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44BB"/>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336</Words>
  <Characters>1920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2005-04-05T15:09:00Z</dcterms:created>
  <dcterms:modified xsi:type="dcterms:W3CDTF">2005-04-05T15:10:00Z</dcterms:modified>
</cp:coreProperties>
</file>