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74:27:12:24.  Variances.</w:t>
      </w:r>
      <w:r>
        <w:rPr>
          <w:rFonts w:ascii="Times New Roman" w:hAnsi="Times New Roman"/>
          <w:sz w:val="24"/>
        </w:rPr>
        <w:t xml:space="preserve"> The board or secretary may grant variances to the provisions of §§ 74:27:12:08, 74:27:12:11, 74:27:12:12, 74:27:12:14, 74:27:12:15, 74:27:12:17, 74:27:12:18, 74:27:12:19, 74:27:12:20, 74:27:12:21, and 74:27:12:23 case by case. All demonstrations for variances for MSWLFs must meet the requirements of 40 C.F.R. Part 258 as published on 56 Fed. Reg. 50,978 to 51,119, inclusive (October 9, 1991).</w:t>
      </w:r>
    </w:p>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BB6248" w:rsidRDefault="00BB6248" w:rsidP="0093301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B6248" w:rsidSect="00BB624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3301A"/>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B6248"/>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301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2005-04-05T15:10:00Z</dcterms:created>
  <dcterms:modified xsi:type="dcterms:W3CDTF">2005-04-05T15:10:00Z</dcterms:modified>
</cp:coreProperties>
</file>