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20:01:02:03.  Adoption of NIST Handbook 130.</w:t>
      </w:r>
      <w:r>
        <w:rPr>
          <w:rFonts w:ascii="Times New Roman" w:hAnsi="Times New Roman"/>
          <w:sz w:val="24"/>
        </w:rPr>
        <w:t xml:space="preserve"> Except where in conflict with existing codified law or administrative rule, South Dakota shall follow uniform laws and regulations as they appear in NIST Handbook 130,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, with the exception of sections IIIB, Uniform Weighmaster Law, and IVC, Uniform Unit Pricing Regulation.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16 SDR 84, effective November 9, 1989; 18 SDR 198, effective June 4, 1992; 26 SDR 33, effective September 16, 1999; 35 SDR 48, effective September 10, 2008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  <w:lang w:val="en-US" w:bidi="en-US" w:eastAsia="en-US"/>
        </w:rPr>
        <w:t>; 48 SDR 18, effective August 30,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34-39-7, 37-20-34, 37-21-5, 37-22-3, 37-21A-11, 37-2-6.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37-2-6, 37-2-7, 37-20-34, 37-21-6, 37-22-3.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NIST Handbook 130,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 xml:space="preserve">, National Institute of Standards and Technology, U.S. Department of Commerce, issued </w:t>
      </w:r>
      <w:r>
        <w:rPr>
          <w:rFonts w:ascii="Times New Roman" w:hAnsi="Times New Roman"/>
          <w:sz w:val="24"/>
          <w:lang w:val="en-US" w:bidi="en-US" w:eastAsia="en-US"/>
        </w:rPr>
        <w:t>November 2019</w:t>
      </w:r>
      <w:r>
        <w:rPr>
          <w:rFonts w:ascii="Times New Roman" w:hAnsi="Times New Roman"/>
          <w:sz w:val="24"/>
        </w:rPr>
        <w:t>. Copies may be viewed or downloaded at no cost on the National Institute of Science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Technology website located at: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https://www.nist.gov/pml/weights-and-measures/publications/nist-handbooks/other-nist-handbooks/other-nist-handbooks-2-1</w:t>
        </w:r>
      </w:hyperlink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nist.gov/pml/weights-and-measures/publications/nist-handbooks/other-nist-handbooks/other-nist-handbooks-2-1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2021-08-23T13:29:38Z</dcterms:created>
  <cp:lastModifiedBy>Kelly Thompson</cp:lastModifiedBy>
  <dcterms:modified xsi:type="dcterms:W3CDTF">2021-08-23T13:32:07Z</dcterms:modified>
  <cp:revision>3</cp:revision>
</cp:coreProperties>
</file>