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74:28:21:02.  General standards for a hazardous waste management system.</w:t>
      </w:r>
      <w:r>
        <w:t xml:space="preserve"> The definitions, except as specified in § 74:28:21:01, references, petitions, variances, and other procedures in 40 C.F.R. §§ 260.</w:t>
      </w:r>
      <w:r>
        <w:rPr>
          <w:lang w:val="en-US" w:bidi="en-US" w:eastAsia="en-US"/>
        </w:rPr>
        <w:t>2(c)</w:t>
      </w:r>
      <w:r>
        <w:t xml:space="preserve"> to 260.43, inclusive,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74:28:21:01.01,</w:t>
      </w:r>
      <w:r>
        <w:t xml:space="preserve"> constitute the general hazardous waste management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13 SDR 117, effective March 1, 1987; 13 SDR 129, 13 SDR 141, effective July 1, 1987; 16 SDR 44, effective September 14, 1989; 17 SDR 204, effective July 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2019-08-27T19:59:09Z</dcterms:created>
  <cp:lastModifiedBy>Kelly Thompson</cp:lastModifiedBy>
  <dcterms:modified xsi:type="dcterms:W3CDTF">2023-08-22T16:45:35Z</dcterms:modified>
  <cp:revision>5</cp:revision>
</cp:coreProperties>
</file>