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74:28:22:01.  Identification and listing of hazardous wastes.</w:t>
      </w:r>
      <w:r>
        <w:t xml:space="preserve"> Solid waste</w:t>
      </w:r>
      <w:r>
        <w:t xml:space="preserve"> subject to regulation as hazardous waste</w:t>
      </w:r>
      <w:r>
        <w:rPr>
          <w:lang w:val="en-US" w:bidi="en-US" w:eastAsia="en-US"/>
        </w:rPr>
        <w:t xml:space="preserve"> is</w:t>
      </w:r>
      <w:r>
        <w:t xml:space="preserve"> identified and listed in 40 C.F.R. §§ 261.1 to 261.1</w:t>
      </w:r>
      <w:r>
        <w:rPr>
          <w:lang w:val="en-US" w:bidi="en-US" w:eastAsia="en-US"/>
        </w:rPr>
        <w:t>089</w:t>
      </w:r>
      <w:r>
        <w:t>, inclusive, except 40 C.F.R. § 261.4(b)</w:t>
      </w:r>
      <w:r>
        <w:t xml:space="preserve">(17); </w:t>
      </w:r>
      <w:r>
        <w:rPr>
          <w:lang w:val="en-US" w:bidi="en-US" w:eastAsia="en-US"/>
        </w:rPr>
        <w:t xml:space="preserve">and 40 C.F.R. Part 261, </w:t>
      </w:r>
      <w:r>
        <w:t>Appendi</w:t>
      </w:r>
      <w:r>
        <w:rPr>
          <w:lang w:val="en-US" w:bidi="en-US" w:eastAsia="en-US"/>
        </w:rPr>
        <w:t>c</w:t>
      </w:r>
      <w:r>
        <w:t>es I, VII, VIII, and IX</w:t>
      </w:r>
      <w:r>
        <w:rPr>
          <w:lang w:val="en-US" w:bidi="en-US" w:eastAsia="en-US"/>
        </w:rPr>
        <w:t xml:space="preserve">; all as incorporated by </w:t>
      </w:r>
      <w:r>
        <w:rPr>
          <w:rFonts w:ascii="Times New Roman" w:hAnsi="Times New Roman"/>
          <w:lang w:val="en-US" w:bidi="en-US" w:eastAsia="en-US"/>
        </w:rPr>
        <w:t>§</w:t>
      </w:r>
      <w:r>
        <w:rPr>
          <w:rFonts w:ascii="Times New Roman" w:hAnsi="Times New Roman"/>
          <w:lang w:val="en-US" w:bidi="en-US" w:eastAsia="en-US"/>
        </w:rPr>
        <w:t> 74:28:21:01.01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10 SDR 106, effective April 8, 1984; 12 SDR 79, effective November 11, 1985; 13 SDR 117, effective March 1, 1987; 13 SDR 129, 13 SDR 141, effective July 1, 1987; 16 SDR 44, effective September 14, 1989; 16 SDR 203, effective May 27, 1990; 17 SDR 204, effective July 10, 1991; 19 SDR 48, effective October 8, 1992; 20 SDR 56, effective October 24, 1993; 21 SDR 56, effective September 29, 1994; 22 SDR 43, effective October 2, 1995; 23 SDR 64, effective November 5, 1996; 24 SDR 11, effective August 5, 1997; 26 SDR 26, effective August 29, 1999; 27 SDR 59, effective December 12, 2000; 28 SDR 24, effective August 29, 2001; 29 SDR 21, effective August 28, 2002; 30 SDR 26, effective September 1, 2003; 31 SDR 23, effective August 29, 2004; 34 SDR 68, effective September 13, 2007; 35 SDR 88, effective October 27, 2008; 36 SDR 44, effective September 28, 2009; 40 SDR 61, effective October 10, 2013; 44 SDR 43, effective September 12, 2017; 46 SDR 26, effective September 3, 2019</w:t>
      </w:r>
      <w:r>
        <w:rPr>
          <w:lang w:val="en-US" w:bidi="en-US" w:eastAsia="en-US"/>
        </w:rPr>
        <w:t>; 50 SDR 19, effective August 28,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34A-11-8.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34A-11-8.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2019-08-27T20:03:42Z</dcterms:created>
  <cp:lastModifiedBy>Kelly Thompson</cp:lastModifiedBy>
  <dcterms:modified xsi:type="dcterms:W3CDTF">2023-08-22T16:49:56Z</dcterms:modified>
  <cp:revision>3</cp:revision>
</cp:coreProperties>
</file>