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F22" w:rsidRDefault="009F4F22" w:rsidP="008C1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b/>
          </w:rPr>
          <w:t>20:01:03</w:t>
        </w:r>
      </w:smartTag>
      <w:r>
        <w:rPr>
          <w:b/>
        </w:rPr>
        <w:t>:08.  Heavy scale labor fee for special requests.</w:t>
      </w:r>
      <w:r>
        <w:t xml:space="preserve"> Repealed.</w:t>
      </w:r>
    </w:p>
    <w:p w:rsidR="009F4F22" w:rsidRDefault="009F4F22" w:rsidP="008C1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F4F22" w:rsidRDefault="009F4F22" w:rsidP="008C1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7 SDR 14, effective August 21, 1980; 11 SDR 50, effective January 1, 1985; 12 SDR 151, 12 SDR 155, effective July 1, 1986; 35 SDR 48, effective September 10, 2008; repealed, SL 2014, ch 219, § 11, effective July 1, 2014.</w:t>
      </w:r>
    </w:p>
    <w:p w:rsidR="009F4F22" w:rsidRDefault="009F4F22" w:rsidP="008C1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F4F2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1413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1413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4F22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2014-06-25T16:42:00Z</dcterms:created>
  <dcterms:modified xsi:type="dcterms:W3CDTF">2014-06-25T16:42:00Z</dcterms:modified>
</cp:coreProperties>
</file>