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74:31:03:02.  Management planner training course requirements.</w:t>
      </w:r>
      <w:r>
        <w:rPr>
          <w:rFonts w:ascii="Times New Roman" w:hAnsi="Times New Roman"/>
          <w:sz w:val="24"/>
        </w:rPr>
        <w:t xml:space="preserve"> The management planner training course must be at least two days long and must include lectures, demonstrations, course review, and a written examination. The following topics must be included: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Course overview: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role of the management planner;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Operations and maintenance programs;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Setting work priorities;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Protection of building occupants;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Evaluation and interpretation of survey results: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Review of AHERA requirements for inspection and management plans as given in § 203(i)(1);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Summarized field data and laboratory results;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Comparison between field inspector's data sheet with laboratory results and site survey;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Hazard assessment: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Amplification of the difference between physical assessment and hazard assessment;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The role of the management planner in hazard assessment;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Explanation of significant damage, potential damage, and potential significant damage;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Use of a description or decision tree code for assessment of ACM;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Assessment of friable ACM;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Relationship of accessibility, vibration sources, use of adjoining space, air plenums, and other factors to hazard assessment;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Legal implications: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Liability;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Insurance issues specific to planners;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Liabilities associated with interim control measures, in-house maintenance, repair, and removal;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Use of results from previously performed inspections;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Evaluation and selection of control options;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Overview of encapsulation, enclosure, interim operations and maintenance, and removal and the advantages and disadvantages of each method;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Response actions described by a decision tree or other EPA-approved method;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Work practices for each response action;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Staging and prioritizing of work in both vacant and occupied buildings;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The need for containment barriers and decontamination in response actions;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Role of other professionals: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Use of industrial hygienists, engineers, and architects in developing technical specifications for response actions;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Any requirements that may exist for sign-off of plans by an architect;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Team approach to design of high-quality job specifications;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Developing an operations and maintenance (O&amp;M) plan: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Purpose of the plan;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What actions should be taken by custodial staff: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Cleaning procedures -- steam cleaning and high efficiency particulate aerosol (HEPA) vacuuming;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</w:t>
      </w:r>
      <w:r>
        <w:rPr>
          <w:rFonts w:ascii="Times New Roman" w:hAnsi="Times New Roman"/>
          <w:sz w:val="24"/>
        </w:rPr>
        <w:tab/>
        <w:t>Reducing disturbance of ACM;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(iii)</w:t>
      </w:r>
      <w:r>
        <w:rPr>
          <w:rFonts w:ascii="Times New Roman" w:hAnsi="Times New Roman"/>
          <w:sz w:val="24"/>
        </w:rPr>
        <w:tab/>
        <w:t>Scheduling O&amp;M for off-hours;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(iv)</w:t>
      </w:r>
      <w:r>
        <w:rPr>
          <w:rFonts w:ascii="Times New Roman" w:hAnsi="Times New Roman"/>
          <w:sz w:val="24"/>
        </w:rPr>
        <w:tab/>
        <w:t>Rescheduling or canceling renovation in areas with ACM;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Boiler room maintenance;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(vi)</w:t>
      </w:r>
      <w:r>
        <w:rPr>
          <w:rFonts w:ascii="Times New Roman" w:hAnsi="Times New Roman"/>
          <w:sz w:val="24"/>
        </w:rPr>
        <w:tab/>
        <w:t>Disposal of ACM;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In-house procedures for ACM: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Bridging and penetrating encapsulants;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</w:t>
      </w:r>
      <w:r>
        <w:rPr>
          <w:rFonts w:ascii="Times New Roman" w:hAnsi="Times New Roman"/>
          <w:sz w:val="24"/>
        </w:rPr>
        <w:tab/>
        <w:t>Pipe fittings, metal sleeves;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Polyvinyl chloride, canvas, and wet wraps;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(iv)</w:t>
      </w:r>
      <w:r>
        <w:rPr>
          <w:rFonts w:ascii="Times New Roman" w:hAnsi="Times New Roman"/>
          <w:sz w:val="24"/>
        </w:rPr>
        <w:tab/>
        <w:t>Muslin with straps;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Fiber mesh cloth;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(vi)</w:t>
      </w:r>
      <w:r>
        <w:rPr>
          <w:rFonts w:ascii="Times New Roman" w:hAnsi="Times New Roman"/>
          <w:sz w:val="24"/>
        </w:rPr>
        <w:tab/>
        <w:t>Mineral wool and insulating cement;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Discussion of employee protection programs and staff training;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Case study in developing an O&amp;M plan -- development, implementation process, and problems that have been experienced;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Regulatory review focusing on: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OSHA asbestos construction standard in 29 C.F.R. § 1926.58 (July 1, 1993) as amended by 59 Fed. Reg. 40,964 to 41,162, inclusive (August 10, 1994);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National emission standard for hazardous air pollutants in 40 C.F.R. § 61, Subparts A (general provisions) and M (national emission standard for asbestos) (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);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Record keeping for the management planner: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Use of field inspector's data sheet along with laboratory results;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Ongoing record keeping as a means to track asbestos disturbance;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Procedures for record keeping;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Assembling and submitting the management plan: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Plan requirements in AHERA, § 203(i)(1);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The management plan as a planning tool;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Financing abatement actions: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Economic analysis and cost estimates: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Development of cost estimates;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</w:rPr>
        <w:tab/>
        <w:t>Present costs of abatement versus future operations and maintenance costs;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Course review -- a review of key aspects of the training course.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June 5, 1988; 15 SDR 50, effective October 3, 1988; 18 SDR 95, effective December 2, 1991; 21 SDR 101, effective December 4, 1994.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34-44-19.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34-44-20, 34-44-21.</w:t>
      </w:r>
    </w:p>
    <w:p w:rsidR="00744565" w:rsidRDefault="00744565" w:rsidP="008E5A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44565" w:rsidSect="0074456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44565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8E5A5B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5A5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677</Words>
  <Characters>3862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2005-04-15T17:14:00Z</dcterms:created>
  <dcterms:modified xsi:type="dcterms:W3CDTF">2005-04-15T17:14:00Z</dcterms:modified>
</cp:coreProperties>
</file>