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74:31:03:03.  Abatement project designer training course requirements.</w:t>
      </w:r>
      <w:r>
        <w:rPr>
          <w:rFonts w:ascii="Times New Roman" w:hAnsi="Times New Roman"/>
          <w:sz w:val="24"/>
        </w:rPr>
        <w:t xml:space="preserve"> The abatement project designer training course must be at least three days long and must include lectures, demonstrations, a field trip, course review, and a written examination. The following topics must be included:</w:t>
      </w: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Background information on asbestos:</w:t>
      </w: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(a)  Identification of asbestos;</w:t>
      </w: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(b)  Examples and discussions of the uses and locations of asbestos in buildings;</w:t>
      </w: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(c)  Physical appearance of asbestos;</w:t>
      </w: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Potential health effects related to asbestos exposure:</w:t>
      </w: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(a)  The nature of asbestos-related diseases;</w:t>
      </w: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(b)  Routes of exposure;</w:t>
      </w: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(c)  Dose-response relationships and the lack of a safe exposure level;</w:t>
      </w: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(d)  The synergistic effect between cigarette smoking and asbestos exposure;</w:t>
      </w: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(e)  The latency period of asbestos-related diseases;</w:t>
      </w: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(f)  A discussion of the relationship between asbestos exposure and asbestosis, lung cancer, mesothelioma, and cancer of other organs;</w:t>
      </w: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Overview of abatement construction projects:</w:t>
      </w: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(a)  Abatement as a portion of a renovation project;</w:t>
      </w: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(b)  OSHA requirements for notification of other contractors on a multiemployer site in 29 C.F.R. § 1926.58 (July 1, 1993) as amended by 59 Fed. Reg. 40,964 to 41,162, inclusive (August 10, 1994);</w:t>
      </w: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Safety system design specifications:</w:t>
      </w: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(a)</w:t>
      </w:r>
      <w:r>
        <w:rPr>
          <w:rFonts w:ascii="Times New Roman" w:hAnsi="Times New Roman"/>
          <w:sz w:val="24"/>
        </w:rPr>
        <w:tab/>
        <w:t>Design, construction, and maintenance of containment barriers and decontamination enclosure systems;</w:t>
      </w: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(b)</w:t>
      </w:r>
      <w:r>
        <w:rPr>
          <w:rFonts w:ascii="Times New Roman" w:hAnsi="Times New Roman"/>
          <w:sz w:val="24"/>
        </w:rPr>
        <w:tab/>
        <w:t>Positioning of warning signs;</w:t>
      </w: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(c)</w:t>
      </w:r>
      <w:r>
        <w:rPr>
          <w:rFonts w:ascii="Times New Roman" w:hAnsi="Times New Roman"/>
          <w:sz w:val="24"/>
        </w:rPr>
        <w:tab/>
        <w:t>Electrical and ventilation system lockout;</w:t>
      </w: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(d)</w:t>
      </w:r>
      <w:r>
        <w:rPr>
          <w:rFonts w:ascii="Times New Roman" w:hAnsi="Times New Roman"/>
          <w:sz w:val="24"/>
        </w:rPr>
        <w:tab/>
        <w:t>Working techniques for minimizing fiber release;</w:t>
      </w: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(e)</w:t>
      </w:r>
      <w:r>
        <w:rPr>
          <w:rFonts w:ascii="Times New Roman" w:hAnsi="Times New Roman"/>
          <w:sz w:val="24"/>
        </w:rPr>
        <w:tab/>
        <w:t>Entry and exit procedures for the work area;</w:t>
      </w: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(f)</w:t>
      </w:r>
      <w:r>
        <w:rPr>
          <w:rFonts w:ascii="Times New Roman" w:hAnsi="Times New Roman"/>
          <w:sz w:val="24"/>
        </w:rPr>
        <w:tab/>
        <w:t>Use of wet methods;</w:t>
      </w: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(g)</w:t>
      </w:r>
      <w:r>
        <w:rPr>
          <w:rFonts w:ascii="Times New Roman" w:hAnsi="Times New Roman"/>
          <w:sz w:val="24"/>
        </w:rPr>
        <w:tab/>
        <w:t>Use of negative pressure exhaust ventilation equipment;</w:t>
      </w: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(h)</w:t>
      </w:r>
      <w:r>
        <w:rPr>
          <w:rFonts w:ascii="Times New Roman" w:hAnsi="Times New Roman"/>
          <w:sz w:val="24"/>
        </w:rPr>
        <w:tab/>
        <w:t>Use of high efficiency particulate aerosol (HEPA) vacuums;</w:t>
      </w: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(i)</w:t>
      </w:r>
      <w:r>
        <w:rPr>
          <w:rFonts w:ascii="Times New Roman" w:hAnsi="Times New Roman"/>
          <w:sz w:val="24"/>
        </w:rPr>
        <w:tab/>
        <w:t>Clean-up and disposal of asbestos;</w:t>
      </w: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(j)</w:t>
      </w:r>
      <w:r>
        <w:rPr>
          <w:rFonts w:ascii="Times New Roman" w:hAnsi="Times New Roman"/>
          <w:sz w:val="24"/>
        </w:rPr>
        <w:tab/>
        <w:t>Work practices as they apply to encapsulation, enclosure, and repair;</w:t>
      </w: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(k)</w:t>
      </w:r>
      <w:r>
        <w:rPr>
          <w:rFonts w:ascii="Times New Roman" w:hAnsi="Times New Roman"/>
          <w:sz w:val="24"/>
        </w:rPr>
        <w:tab/>
        <w:t>Use of glove bags and a demonstration of glove bag use;</w:t>
      </w: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(l)</w:t>
      </w:r>
      <w:r>
        <w:rPr>
          <w:rFonts w:ascii="Times New Roman" w:hAnsi="Times New Roman"/>
          <w:sz w:val="24"/>
        </w:rPr>
        <w:tab/>
        <w:t>Proper techniques for initial cleaning;</w:t>
      </w: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Field trip:</w:t>
      </w: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(a)  A visit to an abatement site or other suitable building site. For example, a metal pole building without any HVAC systems would not be considered a suitable site. The visit must include:</w:t>
      </w: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(i)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On-site discussions of abatement design;</w:t>
      </w: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tab/>
      </w:r>
      <w:r>
        <w:rPr>
          <w:rFonts w:ascii="Times New Roman" w:hAnsi="Times New Roman"/>
          <w:sz w:val="24"/>
        </w:rPr>
        <w:t>(ii)</w:t>
      </w:r>
      <w:r>
        <w:rPr>
          <w:rFonts w:ascii="Times New Roman" w:hAnsi="Times New Roman"/>
          <w:sz w:val="24"/>
        </w:rPr>
        <w:tab/>
        <w:t>A building walk-through inspection;</w:t>
      </w: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tab/>
      </w:r>
      <w:r>
        <w:rPr>
          <w:rFonts w:ascii="Times New Roman" w:hAnsi="Times New Roman"/>
          <w:sz w:val="24"/>
        </w:rPr>
        <w:t>(iii)</w:t>
      </w:r>
      <w:r>
        <w:rPr>
          <w:rFonts w:ascii="Times New Roman" w:hAnsi="Times New Roman"/>
          <w:sz w:val="24"/>
        </w:rPr>
        <w:tab/>
        <w:t>A discussion of rationale for the concept of functional spaces during the walk-through;</w:t>
      </w: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(6)  Employee personal protective equipment:</w:t>
      </w: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(a)</w:t>
      </w:r>
      <w:r>
        <w:rPr>
          <w:rFonts w:ascii="Times New Roman" w:hAnsi="Times New Roman"/>
          <w:sz w:val="24"/>
        </w:rPr>
        <w:tab/>
        <w:t>Classes and characteristics of respirators;</w:t>
      </w: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(b)</w:t>
      </w:r>
      <w:r>
        <w:rPr>
          <w:rFonts w:ascii="Times New Roman" w:hAnsi="Times New Roman"/>
          <w:sz w:val="24"/>
        </w:rPr>
        <w:tab/>
        <w:t>Limitations of respirators;</w:t>
      </w: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(c)</w:t>
      </w:r>
      <w:r>
        <w:rPr>
          <w:rFonts w:ascii="Times New Roman" w:hAnsi="Times New Roman"/>
          <w:sz w:val="24"/>
        </w:rPr>
        <w:tab/>
        <w:t>Selection, inspection, donning, use, maintenance, and storage procedures;</w:t>
      </w: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(d)</w:t>
      </w:r>
      <w:r>
        <w:rPr>
          <w:rFonts w:ascii="Times New Roman" w:hAnsi="Times New Roman"/>
          <w:sz w:val="24"/>
        </w:rPr>
        <w:tab/>
        <w:t>Methods for field testing of the facepiece-to-face seal (positive and negative pressure fitting tests);</w:t>
      </w: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(e)</w:t>
      </w:r>
      <w:r>
        <w:rPr>
          <w:rFonts w:ascii="Times New Roman" w:hAnsi="Times New Roman"/>
          <w:sz w:val="24"/>
        </w:rPr>
        <w:tab/>
        <w:t>Qualitative and quantitative fit testing procedures;</w:t>
      </w: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(f)</w:t>
      </w:r>
      <w:r>
        <w:rPr>
          <w:rFonts w:ascii="Times New Roman" w:hAnsi="Times New Roman"/>
          <w:sz w:val="24"/>
        </w:rPr>
        <w:tab/>
        <w:t>Variability between field and laboratory protection factors;</w:t>
      </w: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(g)</w:t>
      </w:r>
      <w:r>
        <w:rPr>
          <w:rFonts w:ascii="Times New Roman" w:hAnsi="Times New Roman"/>
          <w:sz w:val="24"/>
        </w:rPr>
        <w:tab/>
        <w:t>Factors that alter respirator fit, for example, facial hair;</w:t>
      </w: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(h)</w:t>
      </w:r>
      <w:r>
        <w:rPr>
          <w:rFonts w:ascii="Times New Roman" w:hAnsi="Times New Roman"/>
          <w:sz w:val="24"/>
        </w:rPr>
        <w:tab/>
        <w:t>Components of a respiratory protection program;</w:t>
      </w: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(i)</w:t>
      </w:r>
      <w:r>
        <w:rPr>
          <w:rFonts w:ascii="Times New Roman" w:hAnsi="Times New Roman"/>
          <w:sz w:val="24"/>
        </w:rPr>
        <w:tab/>
        <w:t>Selection and use of personal protective clothing;</w:t>
      </w: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(j)</w:t>
      </w:r>
      <w:r>
        <w:rPr>
          <w:rFonts w:ascii="Times New Roman" w:hAnsi="Times New Roman"/>
          <w:sz w:val="24"/>
        </w:rPr>
        <w:tab/>
        <w:t>Use, storage, and handling of nondisposable clothing;</w:t>
      </w: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(k)</w:t>
      </w:r>
      <w:r>
        <w:rPr>
          <w:rFonts w:ascii="Times New Roman" w:hAnsi="Times New Roman"/>
          <w:sz w:val="24"/>
        </w:rPr>
        <w:tab/>
        <w:t>Regulations found in subdivision (18) of this section covering personal protective equipment;</w:t>
      </w: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(7)  Additional safety hazards:</w:t>
      </w: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(a)  Hazards encountered during abatement activities and how to deal with them, including:</w:t>
      </w: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(i)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Electrical hazards;</w:t>
      </w: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tab/>
      </w:r>
      <w:r>
        <w:rPr>
          <w:rFonts w:ascii="Times New Roman" w:hAnsi="Times New Roman"/>
          <w:sz w:val="24"/>
        </w:rPr>
        <w:t>(ii)</w:t>
      </w:r>
      <w:r>
        <w:rPr>
          <w:rFonts w:ascii="Times New Roman" w:hAnsi="Times New Roman"/>
          <w:sz w:val="24"/>
        </w:rPr>
        <w:tab/>
        <w:t>Heat stress;</w:t>
      </w: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tab/>
      </w:r>
      <w:r>
        <w:rPr>
          <w:rFonts w:ascii="Times New Roman" w:hAnsi="Times New Roman"/>
          <w:sz w:val="24"/>
        </w:rPr>
        <w:t>(iii)</w:t>
      </w:r>
      <w:r>
        <w:rPr>
          <w:rFonts w:ascii="Times New Roman" w:hAnsi="Times New Roman"/>
          <w:sz w:val="24"/>
        </w:rPr>
        <w:tab/>
        <w:t>Air contaminants other than asbestos;</w:t>
      </w: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tab/>
      </w:r>
      <w:r>
        <w:rPr>
          <w:rFonts w:ascii="Times New Roman" w:hAnsi="Times New Roman"/>
          <w:sz w:val="24"/>
        </w:rPr>
        <w:t>(iv)</w:t>
      </w:r>
      <w:r>
        <w:rPr>
          <w:rFonts w:ascii="Times New Roman" w:hAnsi="Times New Roman"/>
          <w:sz w:val="24"/>
        </w:rPr>
        <w:tab/>
        <w:t>Fire and explosion hazards;</w:t>
      </w: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(8)  Fiber aerodynamics and control:</w:t>
      </w: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(a)  Aerodynamic characteristics of asbestos fibers;</w:t>
      </w: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(b)  Importance of containment barriers;</w:t>
      </w: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(c)  Settling time for asbestos fibers;</w:t>
      </w: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(d)  Wet methods in abatement;</w:t>
      </w: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(e)  Aggressive air monitoring following abatement;</w:t>
      </w: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(f)  Aggressive air movement and negative pressure exhaust ventilation as a clean-up method;</w:t>
      </w: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(9)  Designing abatement solutions:</w:t>
      </w: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(a)  Discussions of removal, enclosure, and encapsulation methods;</w:t>
      </w: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(b)  Asbestos waste disposal;</w:t>
      </w: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(10)  Final clearance process:</w:t>
      </w: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(a)  Discussion of the need for a written sampling rationale for aggressive final air clearance;</w:t>
      </w: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(b)  Requirements of a complete visual inspection;</w:t>
      </w: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(c)  Discussion of the relationship of visual inspection to final air clearance;</w:t>
      </w: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(11)  Budgeting and cost estimation:</w:t>
      </w: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(a)  Development of cost estimates;</w:t>
      </w: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(b)  Present costs of abatement versus future operations and maintenance costs;</w:t>
      </w: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(c)  Setting priorities for abatement jobs to reduce cost;</w:t>
      </w: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(12)</w:t>
      </w:r>
      <w:r>
        <w:t xml:space="preserve"> </w:t>
      </w:r>
      <w:r>
        <w:rPr>
          <w:rFonts w:ascii="Times New Roman" w:hAnsi="Times New Roman"/>
          <w:sz w:val="24"/>
        </w:rPr>
        <w:t>Writing abatement specifications:</w:t>
      </w: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(a)  Means and methods specifications versus performance specifications;</w:t>
      </w: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(b)  Design of abatement in occupied buildings;</w:t>
      </w: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(c)  Modification of guide specifications to a particular building;</w:t>
      </w: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(d)  Worker and building occupant health and medical considerations;</w:t>
      </w: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(e)  Replacement of ACM with a substitute for asbestos;</w:t>
      </w: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(f)  Preparation of and need for a written project design;</w:t>
      </w: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(13)  Preparing abatement drawings:</w:t>
      </w: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(a)  Use of as-built drawings as base drawings;</w:t>
      </w: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(b)  Use of inspection photographs and on-site reports;</w:t>
      </w: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(c)  Particular problems in abatement drawings;</w:t>
      </w: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(d)  Significance and need for drawings;</w:t>
      </w: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(e)  Methods of preparing abatement drawings;</w:t>
      </w: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(f)  Diagramming containment barriers;</w:t>
      </w: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(g)  Relationship of drawings to design specifications;</w:t>
      </w: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(14)  Contract preparation and administration;</w:t>
      </w: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(15)  Legal liabilities and defenses:</w:t>
      </w: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(a)  Insurance considerations;</w:t>
      </w: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(b)  Bonding;</w:t>
      </w: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(c)  Hold harmless clauses;</w:t>
      </w: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(d)  Use of abatement contractor's liability insurance;</w:t>
      </w: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(e)  Claims made versus occurrence policies;</w:t>
      </w: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(16)  Replacement of asbestos with asbestos-free substitutes;</w:t>
      </w: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(17)  Role of other consultants:</w:t>
      </w: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(a)  Development of technical specification sections by industrial hygienists or engineers;</w:t>
      </w: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(b)  The multidisciplinary team approach to abatement design;</w:t>
      </w: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(18)  Occupied buildings:</w:t>
      </w: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(a)  Special design procedures required in occupied buildings;</w:t>
      </w: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(b)  Education of occupants;</w:t>
      </w: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(c)  Extra monitoring recommendations;</w:t>
      </w: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(d)  Staging of work to minimize exposure to occupants;</w:t>
      </w: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(e)  Scheduling of renovation to minimize exposure;</w:t>
      </w: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(19)  Regulatory review -- procedures and standards:</w:t>
      </w: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(a)  Requirements of AHERA;</w:t>
      </w: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(b)  National emission standard for hazardous air pollutants in 40 C.F.R. § 61, Subparts A (general provisions) and M (national emission standard for asbestos) (</w:t>
      </w:r>
      <w:smartTag w:uri="urn:schemas-microsoft-com:office:smarttags" w:element="date">
        <w:smartTagPr>
          <w:attr w:name="Year" w:val="1993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1993</w:t>
        </w:r>
      </w:smartTag>
      <w:r>
        <w:rPr>
          <w:rFonts w:ascii="Times New Roman" w:hAnsi="Times New Roman"/>
          <w:sz w:val="24"/>
        </w:rPr>
        <w:t>);</w:t>
      </w: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(c)  OSHA standards for permissible exposure to airborne concentrations of asbestos fibers and respiratory protection in 29 C.F.R. § 1910.134 (July 1, 1993) as amended by 59 Fed. Reg. 40,964 to 41,162, inclusive (August 10, 1994);</w:t>
      </w: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(d)  EPA worker protection rule in 40 C.F.R. § 763, Subpart G (July 1, 1993);</w:t>
      </w: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(e)  OSHA asbestos construction standard in 29 C.F.R. § 1926.58 (July 1, 1993) as amended by 59 Fed. Reg. 40,964 to 41,162, inclusive (August 10, 1994);</w:t>
      </w: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(f)  OSHA hazard communication standard in 29 C.F.R. § 1926.59 (</w:t>
      </w:r>
      <w:smartTag w:uri="urn:schemas-microsoft-com:office:smarttags" w:element="date">
        <w:smartTagPr>
          <w:attr w:name="Year" w:val="1993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1993</w:t>
        </w:r>
      </w:smartTag>
      <w:r>
        <w:rPr>
          <w:rFonts w:ascii="Times New Roman" w:hAnsi="Times New Roman"/>
          <w:sz w:val="24"/>
        </w:rPr>
        <w:t>);</w:t>
      </w: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(20)</w:t>
      </w:r>
      <w:r>
        <w:t> </w:t>
      </w:r>
      <w:r>
        <w:rPr>
          <w:rFonts w:ascii="Times New Roman" w:hAnsi="Times New Roman"/>
          <w:sz w:val="24"/>
        </w:rPr>
        <w:t>Course review -- a review of key aspects of the training course.</w:t>
      </w: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14 SDR 164, effective </w:t>
      </w:r>
      <w:smartTag w:uri="urn:schemas-microsoft-com:office:smarttags" w:element="date">
        <w:smartTagPr>
          <w:attr w:name="Year" w:val="1988"/>
          <w:attr w:name="Day" w:val="5"/>
          <w:attr w:name="Month" w:val="6"/>
        </w:smartTagPr>
        <w:r>
          <w:rPr>
            <w:rFonts w:ascii="Times New Roman" w:hAnsi="Times New Roman"/>
            <w:sz w:val="24"/>
          </w:rPr>
          <w:t>June 5, 1988</w:t>
        </w:r>
      </w:smartTag>
      <w:r>
        <w:rPr>
          <w:rFonts w:ascii="Times New Roman" w:hAnsi="Times New Roman"/>
          <w:sz w:val="24"/>
        </w:rPr>
        <w:t xml:space="preserve">; 18 SDR 95, effective </w:t>
      </w:r>
      <w:smartTag w:uri="urn:schemas-microsoft-com:office:smarttags" w:element="date">
        <w:smartTagPr>
          <w:attr w:name="Year" w:val="1991"/>
          <w:attr w:name="Day" w:val="2"/>
          <w:attr w:name="Month" w:val="12"/>
        </w:smartTagPr>
        <w:r>
          <w:rPr>
            <w:rFonts w:ascii="Times New Roman" w:hAnsi="Times New Roman"/>
            <w:sz w:val="24"/>
          </w:rPr>
          <w:t>December 2, 1991</w:t>
        </w:r>
      </w:smartTag>
      <w:r>
        <w:rPr>
          <w:rFonts w:ascii="Times New Roman" w:hAnsi="Times New Roman"/>
          <w:sz w:val="24"/>
        </w:rPr>
        <w:t xml:space="preserve">; 21 SDR 101, effective </w:t>
      </w:r>
      <w:smartTag w:uri="urn:schemas-microsoft-com:office:smarttags" w:element="date">
        <w:smartTagPr>
          <w:attr w:name="Year" w:val="1994"/>
          <w:attr w:name="Day" w:val="4"/>
          <w:attr w:name="Month" w:val="12"/>
        </w:smartTagPr>
        <w:r>
          <w:rPr>
            <w:rFonts w:ascii="Times New Roman" w:hAnsi="Times New Roman"/>
            <w:sz w:val="24"/>
          </w:rPr>
          <w:t>December 4, 1994</w:t>
        </w:r>
      </w:smartTag>
      <w:r>
        <w:rPr>
          <w:rFonts w:ascii="Times New Roman" w:hAnsi="Times New Roman"/>
          <w:sz w:val="24"/>
        </w:rPr>
        <w:t>.</w:t>
      </w: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34-44-3, 34-44-19.</w:t>
      </w: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34-44-3, 34-44-4, 34-44-20, 34-44-21.</w:t>
      </w:r>
    </w:p>
    <w:p w:rsidR="00FC58CC" w:rsidRDefault="00FC58CC" w:rsidP="004A4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FC58CC" w:rsidSect="00FC58CC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73CB5"/>
    <w:rsid w:val="001B6096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A401F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707299"/>
    <w:rsid w:val="0071626D"/>
    <w:rsid w:val="0074209C"/>
    <w:rsid w:val="00750FE1"/>
    <w:rsid w:val="00770350"/>
    <w:rsid w:val="00770466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C4AB9"/>
    <w:rsid w:val="00AE2717"/>
    <w:rsid w:val="00B14AF5"/>
    <w:rsid w:val="00B3330E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C58CC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A401F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1072</Words>
  <Characters>6117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lrpr14296</dc:creator>
  <cp:keywords/>
  <dc:description/>
  <cp:lastModifiedBy>lrpr14296</cp:lastModifiedBy>
  <cp:revision>1</cp:revision>
  <dcterms:created xsi:type="dcterms:W3CDTF">2005-04-15T17:15:00Z</dcterms:created>
  <dcterms:modified xsi:type="dcterms:W3CDTF">2005-04-15T17:15:00Z</dcterms:modified>
</cp:coreProperties>
</file>