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74:31:04:01.  Recertification requirements.</w:t>
      </w:r>
      <w:r>
        <w:rPr>
          <w:rFonts w:ascii="Times New Roman" w:hAnsi="Times New Roman"/>
          <w:sz w:val="24"/>
        </w:rPr>
        <w:t xml:space="preserve"> To be recertified a person must attend an annual refresher training course in the discipline of the person's certificate, as follows: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Inspectors: a half-day refresher course;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Management planners: the half-day refresher course for inspectors and a half-day management planning refresher course;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Abatement project designers: a one-day refresher course;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Asbestos abatement contractors and supervisors: a one-day refresher course;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Asbestos abatement workers: a one-day refresher course.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34-44-15.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34-44-15.</w:t>
      </w:r>
    </w:p>
    <w:p w:rsidR="00FD2EAB" w:rsidRDefault="00FD2EAB" w:rsidP="00AF6B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D2EAB" w:rsidSect="00FD2EA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AF6B2A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D2EAB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B2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104</Words>
  <Characters>597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2005-04-15T17:16:00Z</dcterms:created>
  <dcterms:modified xsi:type="dcterms:W3CDTF">2005-04-15T17:16:00Z</dcterms:modified>
</cp:coreProperties>
</file>