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74:34:01:01.  Definitions.</w:t>
      </w:r>
      <w:r>
        <w:rPr>
          <w:rFonts w:ascii="Times New Roman" w:hAnsi="Times New Roman"/>
          <w:sz w:val="24"/>
        </w:rPr>
        <w:t xml:space="preserve"> Terms used in this article mean: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"CERCLA," the Comprehensive Emergency Response, Compensation and Liability Act of 1980;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(2)  "Department," the Department of </w:t>
      </w:r>
      <w:r>
        <w:rPr>
          <w:rFonts w:ascii="Times New Roman" w:hAnsi="Times New Roman"/>
          <w:sz w:val="24"/>
          <w:lang w:val="en-US" w:bidi="en-US" w:eastAsia="en-US"/>
        </w:rPr>
        <w:t>Agriculture</w:t>
      </w:r>
      <w:r>
        <w:rPr>
          <w:rFonts w:ascii="Times New Roman" w:hAnsi="Times New Roman"/>
          <w:sz w:val="24"/>
        </w:rPr>
        <w:t xml:space="preserve"> and Natural Resources;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"Hazardous chemical," any chemical which is a physical or health hazard, but not the following substances: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(a)  Any food, food additive, color additive, drug, or cosmetic regulated by the U.S. Food and Drug Administration; or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(b)  Any substance present as a solid in any manufactured item if exposure to the substance does not occur under normal conditions of use;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  "Hazardous waste," as defined in 40 C.F.R. § 261.3 (July 1, 1988);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(5)  "Mixture," a heterogeneous association of substances in which the various individual substances retain their identities and can usually be separated by mechanical means;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(6)  "Reportable quantity," a discharge of a regulated substance to the environment in sufficient quantity to harm or threaten to harm the public health, safety, welfare, property, or natural resources of the state, or a regulated substance discharged in a quantity reportable according to the provisions of SARA, Title III, § 304 (1986);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(7)  "Responsible person," as defined in SDCL 34A-12-1;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(8)  "SARA," the Superfund Amendments and Reauthorization Act of 1986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17 SDR 48, effective October 3, 1990</w:t>
      </w:r>
      <w:r>
        <w:rPr>
          <w:rFonts w:ascii="Times New Roman" w:hAnsi="Times New Roman"/>
          <w:sz w:val="24"/>
        </w:rPr>
        <w:t>; SL 2021, ch 1, §§ 8, 19, effective April 19, 2021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34A-12-7, 34A-12-9.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34A-12-7, 34A-12-9.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alignTablesRowByRow/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lrpr14296</dc:creator>
  <dcterms:created xsi:type="dcterms:W3CDTF">2005-04-15T17:39:00Z</dcterms:created>
  <cp:lastModifiedBy>Rhonda Purkapile</cp:lastModifiedBy>
  <dcterms:modified xsi:type="dcterms:W3CDTF">2021-03-24T19:26:45Z</dcterms:modified>
  <cp:revision>3</cp:revision>
</cp:coreProperties>
</file>