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74:37:01:08.  Notification of source.</w:t>
      </w:r>
      <w:r>
        <w:rPr>
          <w:rFonts w:ascii="Times New Roman" w:hAnsi="Times New Roman"/>
          <w:sz w:val="24"/>
        </w:rPr>
        <w:t xml:space="preserve"> The department shall notify the owner or operator of the source of the amount of the required annual air emission fee and administrative fee or flat fee by June 1 of each calendar year. The fees shall accrue on July 1 and are payable to the </w:t>
      </w:r>
      <w:r>
        <w:rPr>
          <w:rFonts w:ascii="Times New Roman" w:hAnsi="Times New Roman"/>
          <w:sz w:val="24"/>
          <w:lang w:val="en-US" w:bidi="en-US" w:eastAsia="en-US"/>
        </w:rPr>
        <w:t xml:space="preserve">Department of </w:t>
      </w:r>
      <w:r>
        <w:rPr>
          <w:rFonts w:ascii="Times New Roman" w:hAnsi="Times New Roman"/>
          <w:sz w:val="24"/>
          <w:lang w:val="en-US" w:bidi="en-US" w:eastAsia="en-US"/>
        </w:rPr>
        <w:t>Agriculture</w:t>
      </w:r>
      <w:r>
        <w:rPr>
          <w:rFonts w:ascii="Times New Roman" w:hAnsi="Times New Roman"/>
          <w:sz w:val="24"/>
          <w:lang w:val="en-US" w:bidi="en-US" w:eastAsia="en-US"/>
        </w:rPr>
        <w:t xml:space="preserve"> and Natural Resources</w:t>
      </w:r>
      <w:r>
        <w:rPr>
          <w:rFonts w:ascii="Times New Roman" w:hAnsi="Times New Roman"/>
          <w:sz w:val="24"/>
        </w:rPr>
        <w:t xml:space="preserve"> by July 31 of each year.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199, effective July 1, 1993; 45 SDR 155, effective June 24, 2019</w:t>
      </w:r>
      <w:r>
        <w:rPr>
          <w:rFonts w:ascii="Times New Roman" w:hAnsi="Times New Roman"/>
          <w:sz w:val="24"/>
        </w:rPr>
        <w:t>; SL 2021, ch 1, §§ 8, 19, effective April 19,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34A-1-58, 34A-1-60.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34A-1-60.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lrpr14296</dc:creator>
  <dcterms:created xsi:type="dcterms:W3CDTF">2005-04-18T17:27:00Z</dcterms:created>
  <cp:lastModifiedBy>Rhonda Purkapile</cp:lastModifiedBy>
  <dcterms:modified xsi:type="dcterms:W3CDTF">2021-03-24T19:38:07Z</dcterms:modified>
  <cp:revision>5</cp:revision>
</cp:coreProperties>
</file>