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AGRICULTURE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74:50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COMPLIANCE PROCEDURES FOR WATER POLLUTION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w:t>
      </w:r>
      <w:r>
        <w:rPr>
          <w:rFonts w:ascii="Bookman Old Style" w:hAnsi="Bookman Old Style"/>
          <w:lang w:val="en-US" w:bidi="en-US" w:eastAsia="en-US"/>
        </w:rPr>
        <w:t>April 19</w:t>
      </w:r>
      <w:r>
        <w:rPr>
          <w:rFonts w:ascii="Bookman Old Style" w:hAnsi="Bookman Old Style"/>
        </w:rPr>
        <w:t>,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74:50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COMPLIANCE PROCEDURES FOR WATER POLLUTION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74:50:01</w:t>
        <w:tab/>
        <w:tab/>
        <w:tab/>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w:t>
        <w:tab/>
        <w:tab/>
        <w:tab/>
        <w:t>Contested case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74:50:03</w:t>
        <w:tab/>
        <w:tab/>
        <w:tab/>
        <w:t>Inspections.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GENERAL PROVISIONS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74:50:01:01.  Definitions.</w:t>
      </w:r>
      <w:r>
        <w:t xml:space="preserve"> Terms defined in SDCL 34A-2-2 have the same meaning when used in this article. In addition, "department" means the Department of </w:t>
      </w:r>
      <w:r>
        <w:rPr>
          <w:lang w:bidi="en-US"/>
        </w:rPr>
        <w:t>Agriculture</w:t>
      </w:r>
      <w:r>
        <w:t xml:space="preserv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Copied from §§ 74:03:01:38 and 74:03:02:01 and transferred July 1, 1996; SL 2021, ch 1, §§ 8, 19, effective April 19,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CONTESTED CASE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74:50:02:01</w:t>
        <w:tab/>
        <w:tab/>
        <w:t>Applicability.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74:50:02:02</w:t>
        <w:tab/>
        <w:tab/>
        <w:t>Petition to initiate contested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74:50:02:03</w:t>
        <w:tab/>
        <w:tab/>
        <w:t>Initiation of contested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74:50:02:04</w:t>
        <w:tab/>
        <w:tab/>
        <w:t>Answer to petition to initiate contested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74:50:02:05</w:t>
        <w:tab/>
        <w:tab/>
        <w:t>Intervention in contested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74:50:02:06</w:t>
        <w:tab/>
        <w:tab/>
        <w:t>Initiation of enforcement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74:50:02:07</w:t>
        <w:tab/>
        <w:tab/>
        <w:t>Pleadings to be filed with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74:50:02:08</w:t>
        <w:tab/>
        <w:tab/>
        <w:t>Appointment of hearing chairman.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74:50:02:09</w:t>
        <w:tab/>
        <w:tab/>
        <w:t>Prehearing motions.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74:50:02:10</w:t>
        <w:tab/>
        <w:tab/>
        <w:t>Prehearing conference.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74:50:02:11</w:t>
        <w:tab/>
        <w:tab/>
        <w:t>Notice of contested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74:50:02:12</w:t>
        <w:tab/>
        <w:tab/>
        <w:t>Subpoenas.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74:50:02:13</w:t>
        <w:tab/>
        <w:tab/>
        <w:t>Conduct of hearings.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74:50:02:14</w:t>
        <w:tab/>
        <w:tab/>
        <w:t>Transcripts.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74:50:02:15</w:t>
        <w:tab/>
        <w:tab/>
        <w:t>Means and proof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74:50:02:16</w:t>
        <w:tab/>
        <w:tab/>
        <w:t>Degree of proof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74:50:02:17</w:t>
        <w:tab/>
        <w:tab/>
        <w:t>Appointment of hearing examiner.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74:50:02:18</w:t>
        <w:tab/>
        <w:tab/>
        <w:t>Decision made by majority of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74:50:02:19</w:t>
        <w:tab/>
        <w:tab/>
        <w:t>Findings of fact, conclusions of law, and order.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74:50:02:01.  Applicability.</w:t>
      </w:r>
      <w:r>
        <w:t xml:space="preserve"> The procedures in this chapter apply to articles 74:51 to 74:56,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Effective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Editor's Note:</w:t>
      </w:r>
      <w:r>
        <w:t xml:space="preserve"> The Legislative Research Council constructed this section to maintain the intent of rules transferred from chapter 74:03:13 to chapter 74:50:02, effective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74:50:02:02.  Petition to initiate contested case.</w:t>
      </w:r>
      <w:r>
        <w:t xml:space="preserve"> A person contesting a recommendation of the department concerning a permit application or requesting an order from the board or secretary shall file a petition for a contested case hearing. The petition shall be filed with the department and shall contain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statement of the petitioner's interest in the involved matter;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statement of the recommendation contested, if any, and the relief and decision requested from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statement alleging the relevant facts and issues known to the petitioner, upon which the petitioner bases the contest or request to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statement of the legal authority and jurisdiction under which the hearing would be held, if known;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reference to the particular statutes and rules involved, if known;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signature of the petitioner or the petitioner's attorney.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petitioner shall serve a copy of the petition upon all known persons affected by the petitioner's request who shall be considered parties to the proceeding.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1-26-17, 1-26-27.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74:50:02:03.  Initiation of contested case.</w:t>
      </w:r>
      <w:r>
        <w:t xml:space="preserve"> The board or secretary may on its own motion request that any matter under its jurisdiction be scheduled for hearing. The department shall notice the parties and the public of any hearing requested on motion of the board and of the reasons for the hearing. The hearing shall follow the provisions of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1-26-17, 1-26-27.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74:50:02:04.  Answer to petition to initiate contested case.</w:t>
      </w:r>
      <w:r>
        <w:t xml:space="preserve"> Within 30 days after the receipt of a petition an interested person shall serve a written answer on the petitioner, the department, and other parties of record. The answer shall respond to the allegations in the petition, assert any other relevant factors, and state the desired decision of the board or secretary. Failure to answer an allegation in a petition shall constitute an admission of that fact. Further pleadings by parties in response to an answer are not required unless ordered for purposes of clarification of the issues involved in the contested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1-26-17, 1-26-27.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74:50:02:05.  Intervention in contested case.</w:t>
      </w:r>
      <w:r>
        <w:t xml:space="preserve"> A person who desires to intervene in a contested case proceeding shall file a petition that substantially conforms to the requirements of § 74:50:02:02. The petition shall be filed with the department and served upon all parties of record. Pleadings in response to an intervenor's petition shall not be made unless ordered for purposes of clarification of the issues involved in the contested case. The hearing chairman or secretary shall grant or deny the petition to intervene at the prehearing meeting.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1-26-16, 1-26-17.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74:50:02:06.  Initiation of enforcement hearing.</w:t>
      </w:r>
      <w:r>
        <w:t xml:space="preserve"> The department shall initiate an enforcement hearing by filing a petition that substantially complies with the requirements of § 74:50:02:02. The department shall serve a notice of a contested case which complies with the provisions of SDCL 1-26 and a copy of the petition upon the alleged violator.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1-26-16, 1-26-17.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74:50:02:07.  Pleadings to be filed with department.</w:t>
      </w:r>
      <w:r>
        <w:t xml:space="preserve"> The original of any petition, motion, or other pleading shall be filed with the department. The person filing the pleading shall mail copies of it to the prehearing examiner, hearing examiner if applicable, and all parties of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74:50:02:08.  Appointment of hearing chairman.</w:t>
      </w:r>
      <w:r>
        <w:t xml:space="preserve"> Upon the filing of a hearing before the board, the chair of the board shall appoint a member of the board to act as chair of the hearing. The chair of the hearing is responsible for all prehearing rulings, including motions to intervene, motions for a continuance, and any other motions necessary to ensure an orderly hearing process. A decision made by the chair of the hearing is a final decision of the board unless reversed by a majority of the board at the hearing on the matter. Notice of this appointment and of the date set for a prehearing conference shall be served on all parties by the department. Upon the filing of a petition for a hearing before the secretary, the secretary shall be responsible for all prehearing rulings and shall schedule a prehearing conference.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1-26-18, 1-26-19, 1-26-19.2.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74:50:02:09.  Prehearing motions.</w:t>
      </w:r>
      <w:r>
        <w:t xml:space="preserve"> Any party may make a prehearing motion by filing the motion in writing with the department before the date set for the prehearing conference. Copies of the motion shall be served upon the chair of the hearing or the secretary and all parties of record. The motion shall contain the factual and legal bases for the motion. The motion shall be heard and a decision on it made by the chair of the hearing or the secretary at the prehearing conference.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1-26-18, 1-26-19, 1-26-19.2.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74:50:02:10.  Prehearing conference.</w:t>
      </w:r>
      <w:r>
        <w:t xml:space="preserve"> The chair of the hearing or the secretary shall hold a prehearing conference within 20 days after the filing of a petition for a contested case. The chair of the hearing or the secretary shall decide all prehearing motions at this conference and shall establish a reasonable discovery schedule. The chair of the hearing or the secretary shall also set the time and place of the hearing. Any other issue properly discussed at a pretrial conference under the rules of civil procedure may be heard at the prehearing conference.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74:03:13:09,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1-26-18, 1-26-19, 1-26-19.2.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Pretrial procedure, SDCL 15-6-16.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74:50:02:11.  Notice of contested case.</w:t>
      </w:r>
      <w:r>
        <w:t xml:space="preserve"> The department shall issue a notice of a contested case proceeding which complies with the provisions of SDCL 1-26. The notice shall refer to all petitions filed with the department and shall be served upon all parties of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74:03:13:10,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1-26-16, 1-26-17, 1-26-27.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74:50:02:12.  Subpoenas.</w:t>
      </w:r>
      <w:r>
        <w:t xml:space="preserve"> The chair of the hearing or the secretary shall issue any subpoena necessary for the conduct of the hearing. A party wishing to obtain a subpoena shall submit a written request and a proposed subpoena to the chair of the hearing  or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1-26-19.1.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74:50:02:13.  Conduct of hearings.</w:t>
      </w:r>
      <w:r>
        <w:t xml:space="preserve"> The chair of the hearing shall act as the chair of the board for the contested case hearing before the board and shall make all necessary evidentiary rulings during the proceeding.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74:50:02:14.  Transcripts.</w:t>
      </w:r>
      <w:r>
        <w:t xml:space="preserve"> A party wishing to obtain a transcript of a contested case hearing must make arrangements with a court reporter prior to the hearing. The department or the board may, on their own motion, have a transcript of a contested case proceeding prepared; however, parties must obtain copies of the transcript from the court reporter at their own expense.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74:50:02:15.  Means and proof of service.</w:t>
      </w:r>
      <w:r>
        <w:t xml:space="preserve"> The service of all pleadings, notices, or orders may be made by certified mail or personal service. An affidavit of mailing or service, copies of the receipts for delivery of certified mail, an admission of service, or other competent evidence is proof of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74:50:02:16.  Degree of proof required.</w:t>
      </w:r>
      <w:r>
        <w:t xml:space="preserve"> Whenever, under the provisions of this chapter, a person is required to find, demonstrate, show, or otherwise establish a fact, that fact must be established by a preponderance of the evidence.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74:03:13:15,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74:50:02:17.  Appointment of hearing examiner.</w:t>
      </w:r>
      <w:r>
        <w:t xml:space="preserve"> The secretary or the board may appoint a hearing examiner to conduct the hearing of the contested case. After conducting the prehearing conference and hearing the proceeding, the hearing examiner shall make a written recommended memorandum decision to the board, which contains findings of fact, conclusions of law, and an order. A copy shall be served upon all parties of record. The secretary or board shall allow all parties to object in writing to the hearing examiner's recommended decision and to present oral argument before the board or secretary renders a final decision on the contested case proceeding.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74:03:13:16,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74:50:02:18.  Decision made by majority of board.</w:t>
      </w:r>
      <w:r>
        <w:t xml:space="preserve"> A final decision in a contested case before the board is that obtained by a majority vote from a quorum of the board. Final decisions and resulting orders must be signed by the chair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74:03:13:17,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1-26-23, 1-26-25.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74:50:02:19.  Findings of fact, conclusions of law, and order.</w:t>
      </w:r>
      <w:r>
        <w:t xml:space="preserve"> All parties to a contested case proceeding shall present proposed findings of fact, conclusions of law, and an order to the board or secretary at the close of the hearing. The board or secretary shall adopt or reject findings, conclusions, and an order in support of its decision, which constitutes the agency's final decision. The department shall serve written notice of the findings, conclusions, and order upon all parties to the proceeding. A party may file written objections to the final decision within 10 days after receipt of the notice, although the appeal time under SDCL 1-26 runs from the date of receipt of the notice.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74:03:13:18,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1-26-23, 1-26-25.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74:50:03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INSPECTIONS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74:50:03:01</w:t>
        <w:tab/>
        <w:tab/>
        <w:t>Scope.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74:50:03:02</w:t>
        <w:tab/>
        <w:tab/>
        <w:t>Timing.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74:50:03:03</w:t>
        <w:tab/>
        <w:tab/>
        <w:t>Permission.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74:50:03:04</w:t>
        <w:tab/>
        <w:tab/>
        <w:t>Search warrants.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74:50:03:01.  Scope.</w:t>
      </w:r>
      <w:r>
        <w:t xml:space="preserve"> The secretary may inspect all facilities, records, and reports necessary under SDCL chapter 34A-2 or articles 74:51 to 74:56, inclusive. The scope of an inspection shall be limited to that reasonably necessary to ensure that pollution of waters of the state and other natural resources is not occurring, that reports filed with the secretary are accurate, and that the operation is being conducted pursuant to the permits, approvals, or orders required by SDCL chapter 34A-2 or articles 74:51 to 74:56,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74:03:14:01,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34A-2-45, 34A-2-46.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74:50:03:02.  Timing.</w:t>
      </w:r>
      <w:r>
        <w:t xml:space="preserve"> All facilities shall be inspected at least one time every five years of operation. Other inspections may be made.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74:03:14:02,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34A-2-45, 34A-2-46.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74:50:03:03.  Permission.</w:t>
      </w:r>
      <w:r>
        <w:t xml:space="preserve"> All applications for permits, approvals, or orders filed under SDCL chapter 34A-2 or articles 74:51 to 74:56, inclusive, shall contain a notarized statement by the operator granting permission to the secretary for the performance of these inspections. If the board finds, after notice and hearing, that an operator has withdrawn permission for the secretary to inspect the operator's facility, the board may revoke or suspend the permit, approval, or order.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74:03:14:03,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1-26-17, 1-26-27.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74:50:03:04.  Search warrants.</w:t>
      </w:r>
      <w:r>
        <w:t xml:space="preserve"> The secretary shall obtain a search warrant from the magistrate court in the area of the involved facility before conducting an inspection if an operator has withdrawn permission to inspect, unless the involved violation can be discerned by the secretary without entering the operator's property. If the secretary is investigating a complaint alleging waste, pollution, or noncompliance with the provisions of SDCL chapter 34A-2 or articles 74:51 to 74:56, inclusive, an inspection may be conducted by the secretary only if the operator consents to the inspection or if a search warrant is obtained.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14 SDR 86, effective December 24, 1987; transferred from § 74:03:14:04, July 1, 1996.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34A-2-45, 34A-2-46.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r>
      <w:t xml:space="preserve">Revised through </w:t>
    </w:r>
    <w:r>
      <w:rPr>
        <w:lang w:val="en-US" w:bidi="en-US" w:eastAsia="en-US"/>
      </w:rPr>
      <w:t>April 19</w:t>
    </w:r>
    <w:r>
      <w:t>, 2021</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framePr w:wrap="around"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2"/>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1"/>
      <w:jc w:val="right"/>
    </w:pPr>
    <w:r>
      <w:t>COMPLIANCE PROCEDURES FOR WATER POLLUTION CONTROL</w:t>
      <w:tab/>
      <w:tab/>
      <w:t>74:50</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er"/>
    <w:basedOn w:val="P0"/>
    <w:link w:val="C3"/>
    <w:pPr>
      <w:tabs>
        <w:tab w:val="center" w:pos="4680" w:leader="none"/>
        <w:tab w:val="right" w:pos="9360" w:leader="none"/>
      </w:tabs>
    </w:pPr>
    <w:rPr/>
  </w:style>
  <w:style w:type="paragraph" w:styleId="P2">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1"/>
    <w:rPr/>
  </w:style>
  <w:style w:type="character" w:styleId="C4">
    <w:name w:val="Footer Char"/>
    <w:basedOn w:val="C0"/>
    <w:link w:val="P2"/>
    <w:rPr/>
  </w:style>
  <w:style w:type="character" w:styleId="C5">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Rhonda Purkapile</dc:creator>
  <dcterms:created xsi:type="dcterms:W3CDTF">2021-03-24T19:42:00Z</dcterms:created>
  <cp:lastModifiedBy>Rhonda Purkapile</cp:lastModifiedBy>
  <dcterms:modified xsi:type="dcterms:W3CDTF">2021-03-24T19:43:38Z</dcterms:modified>
  <cp:revision>2</cp:revision>
</cp:coreProperties>
</file>