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74:54:02:12.  Notice of recommendations for biennial review of water quality variance permit -- Hearing.</w:t>
      </w:r>
      <w:r>
        <w:rPr>
          <w:rFonts w:ascii="Times New Roman" w:hAnsi="Times New Roman"/>
          <w:sz w:val="24"/>
        </w:rPr>
        <w:t xml:space="preserve"> The secretary shall publish a notice of recommendations in a legal newspaper in the affected county within 30 days after the biennial review of the water quality variance permit has been completed by the secretary. The recommendations shall describe the secretary's proposed disposition of the water quality variance permit review, including any recommended conditions, and shall allow 30 days in which interested persons may file a petition to initiate a contested case and request a hearing before the board. A petition to initiate a contested case must comply with the requirements of chapter 74:50:02. If a petition is not filed, the water quality variance permit review will become final without a hearing.</w:t>
      </w:r>
    </w:p>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xml:space="preserve">; transferred from § 74:03:16:11.01,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34A-2-24, 34A-2-25, 34A-2-26.</w:t>
      </w:r>
    </w:p>
    <w:p w:rsidR="00F677E1" w:rsidRDefault="00F677E1" w:rsidP="00AC5F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77E1" w:rsidSect="00F677E1">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C5F30"/>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677E1"/>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5F3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2005-04-18T20:01:00Z</dcterms:created>
  <dcterms:modified xsi:type="dcterms:W3CDTF">2005-04-18T20:01:00Z</dcterms:modified>
</cp:coreProperties>
</file>