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74:54:02:14.  Secretary issuance of groundwater discharge permit.</w:t>
      </w:r>
      <w:r>
        <w:rPr>
          <w:rFonts w:ascii="Times New Roman" w:hAnsi="Times New Roman"/>
          <w:sz w:val="24"/>
        </w:rPr>
        <w:t xml:space="preserve"> As final approval of a groundwater discharge plan the secretary may issue a groundwater discharge permit for the discharge of any pollutant or combination of pollutants in state waters upon the applicant showing that the discharge meets or will meet all applicable state water quality standards and all other requirements of this chapter. The duration of the permit may not exceed five years. The groundwater discharge permit must specify the permitted allowable limits. For existing facilities, the groundwater discharge permit must also specify sampling and reporting requirements and schedule.</w:t>
      </w:r>
    </w:p>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03:16:13</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34A-2-31, 34A-2-36.</w:t>
      </w:r>
    </w:p>
    <w:p w:rsidR="007E1FBF" w:rsidRDefault="007E1FBF" w:rsidP="00BA5C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E1FBF" w:rsidSect="007E1FB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1FBF"/>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A5C23"/>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C2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126</Words>
  <Characters>723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2005-04-18T20:01:00Z</dcterms:created>
  <dcterms:modified xsi:type="dcterms:W3CDTF">2005-04-18T20:01:00Z</dcterms:modified>
</cp:coreProperties>
</file>