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74:54:02:16.  Termination of groundwater discharge plan by board.</w:t>
      </w:r>
      <w:r>
        <w:rPr>
          <w:rFonts w:ascii="Times New Roman" w:hAnsi="Times New Roman"/>
          <w:sz w:val="24"/>
        </w:rPr>
        <w:t xml:space="preserve"> A groundwater discharge plan approval may be terminated or a renewal denied by the board if one of the following applies:</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Noncompliance by the owner and operator with any condition of the approved plan;</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owner and operator's failure in the application or during the plan approval process to disclose fully all relevant facts or the owner and operator's misrepresentation of relevant facts at any time;</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determination that the permitted activity endangers human health or the environment and can only be regulated to acceptable levels by plan modification or termination; or</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change in any condition that requires either a temporary or permanent reduction or elimination of any discharge controlled by the plan.</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03:16:15</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34A-2-31.</w:t>
      </w:r>
    </w:p>
    <w:p w:rsidR="00F12C46" w:rsidRDefault="00F12C46" w:rsidP="00EE2B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12C46" w:rsidSect="00F12C46">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EE2B39"/>
    <w:rsid w:val="00F12C46"/>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2B3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147</Words>
  <Characters>839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2005-04-18T20:01:00Z</dcterms:created>
  <dcterms:modified xsi:type="dcterms:W3CDTF">2005-04-18T20:01:00Z</dcterms:modified>
</cp:coreProperties>
</file>