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EDA" w:rsidRDefault="00D47EDA" w:rsidP="006973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74:55:01:02.  Class III injection wells subject to the provisions of this chapter.</w:t>
      </w:r>
      <w:r>
        <w:rPr>
          <w:rFonts w:ascii="Times New Roman" w:hAnsi="Times New Roman"/>
          <w:sz w:val="24"/>
        </w:rPr>
        <w:t xml:space="preserve"> A Class III injection well for the in situ mining of uranium minerals shall comply with the provisions of this chapter. "Well," as used in this chapter, means a well associated with a Class III mining operation.</w:t>
      </w:r>
    </w:p>
    <w:p w:rsidR="00D47EDA" w:rsidRDefault="00D47EDA" w:rsidP="006973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7EDA" w:rsidRDefault="00D47EDA" w:rsidP="006973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03:11:02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D47EDA" w:rsidRDefault="00D47EDA" w:rsidP="006973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D47EDA" w:rsidRDefault="00D47EDA" w:rsidP="006973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34A-2-31.</w:t>
      </w:r>
    </w:p>
    <w:p w:rsidR="00D47EDA" w:rsidRDefault="00D47EDA" w:rsidP="006973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7EDA" w:rsidSect="00D47ED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7346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47EDA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34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81</Words>
  <Characters>468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2008-05-12T20:02:00Z</dcterms:created>
  <dcterms:modified xsi:type="dcterms:W3CDTF">2008-05-12T20:02:00Z</dcterms:modified>
</cp:coreProperties>
</file>