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74:55:01:06.  Qualifications for duly authorized representative of signatory.</w:t>
      </w:r>
      <w:r>
        <w:rPr>
          <w:rFonts w:ascii="Times New Roman" w:hAnsi="Times New Roman"/>
          <w:sz w:val="24"/>
        </w:rPr>
        <w:t xml:space="preserve"> All reports shall be signed by a duly authorized representative of the official signatory or by the official signatory. A person is a duly authorized representative if the authorization meets the following criteria: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It is made in writing by the legal signatory;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It specifies an individual or position having responsibility for the overall operation; and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It is submitted to the secretary either prior to or along with documents signed by the authorized representative.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Changes in authorization shall be submitted in writing to the secretary.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03:11:06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34A-2-28.</w:t>
      </w:r>
    </w:p>
    <w:p w:rsidR="007720A4" w:rsidRDefault="007720A4" w:rsidP="00345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720A4" w:rsidSect="007720A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451CA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20A4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51C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133</Words>
  <Characters>762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2008-05-12T20:04:00Z</dcterms:created>
  <dcterms:modified xsi:type="dcterms:W3CDTF">2008-05-12T20:04:00Z</dcterms:modified>
</cp:coreProperties>
</file>