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74:55:01:25.  Information considered for permit issuance.</w:t>
      </w:r>
      <w:r>
        <w:rPr>
          <w:rFonts w:ascii="Times New Roman" w:hAnsi="Times New Roman"/>
          <w:sz w:val="24"/>
        </w:rPr>
        <w:t xml:space="preserve"> Prior to the issuance of a permit for the construction of a new well the secretary shall require the following:</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complete permit application;</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Information required by 40 C.F.R. § 144.31 as it exists on the day the permit hearing is conducted;</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listing of all permits or construction approvals received or applied for in association with the in situ leach permit area under the following programs:</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underground injection control (UIC) program under Part C of the Safe Drinking Water Act, 42 U.S.C. § 300h et seq. (2003);</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Other relevant permits, including other state and local permits or approvals;</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certificate that the applicant has assured, through a performance bond or other appropriate means, the resources necessary to restore affected or mined aquifers and plug or abandon all wells;</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corrective action proposed to be taken for wells that are not properly sealed, completed, or abandoned within the area of review. Injection pressures shall be limited so that pressure in the injection zone does not exceed hydrostatic pressure at the site of any improperly completed or abandoned well in the area of review; and</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Certification of applicant form.</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December 24, 1981; 11 SDR 30, effective August 30, 1984; 12 SDR 204, effective June 23, 1986; 13 SDR 129, 13 SDR 141, effective July 1, 1987; transferred from § 74:03:11:25, July 1, 1996; 34 SDR 279, effective May 12, 2008.</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34A-2-32.</w:t>
      </w:r>
    </w:p>
    <w:p w:rsidR="00FC06C6" w:rsidRDefault="00FC06C6" w:rsidP="009C4B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C06C6" w:rsidSect="00FC06C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4BC9"/>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24B95"/>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6C6"/>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4BC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239</Words>
  <Characters>1364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2008-05-12T20:18:00Z</dcterms:created>
  <dcterms:modified xsi:type="dcterms:W3CDTF">2008-05-14T20:15:00Z</dcterms:modified>
</cp:coreProperties>
</file>