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7FD" w:rsidRDefault="004847FD" w:rsidP="00AD07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74:55:01:38.  Monitor well requirements in formation not considered underground source of drinking water.</w:t>
      </w:r>
      <w:r>
        <w:rPr>
          <w:rFonts w:ascii="Times New Roman" w:hAnsi="Times New Roman"/>
          <w:sz w:val="24"/>
        </w:rPr>
        <w:t xml:space="preserve"> If injection is into a formation in which the water is greater than 10,000 milligrams per liter of total dissolved solids, monitor wells shall be required in the formation by the secretary.</w:t>
      </w:r>
    </w:p>
    <w:p w:rsidR="004847FD" w:rsidRDefault="004847FD" w:rsidP="00AD07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47FD" w:rsidRDefault="004847FD" w:rsidP="00AD07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03:11:38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4847FD" w:rsidRDefault="004847FD" w:rsidP="00AD07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4847FD" w:rsidRDefault="004847FD" w:rsidP="00AD07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34A-2-44.</w:t>
      </w:r>
    </w:p>
    <w:p w:rsidR="004847FD" w:rsidRDefault="004847FD" w:rsidP="00AD07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47FD" w:rsidSect="004847F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47FD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0765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076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2008-05-12T20:32:00Z</dcterms:created>
  <dcterms:modified xsi:type="dcterms:W3CDTF">2008-05-12T20:32:00Z</dcterms:modified>
</cp:coreProperties>
</file>