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74:55:01:40.  Minimum requirements for monitor wells.</w:t>
      </w:r>
      <w:r>
        <w:rPr>
          <w:rFonts w:ascii="Times New Roman" w:hAnsi="Times New Roman"/>
          <w:sz w:val="24"/>
        </w:rPr>
        <w:t xml:space="preserve"> In determining the number, location, and frequency of sampling of the monitor wells the following shall be considered: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Whether or not any person is relying on the underground source of drinking water affected or potentially affected by the injection operation;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proximity of the injection operation to points of withdrawal of drinking water;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local geology and hydrology;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operating pressures and whether a negative pressure gradient is being maintained;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toxicity and volume of the injected fluid, the formation water, and the process by-products; and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density of the injection wells.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03:11:40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34A-2-44.</w:t>
      </w:r>
    </w:p>
    <w:p w:rsidR="00ED1FFE" w:rsidRDefault="00ED1FFE" w:rsidP="00EF3F3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1FFE" w:rsidSect="00ED1F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D1FFE"/>
    <w:rsid w:val="00EE0D4B"/>
    <w:rsid w:val="00EE2D2A"/>
    <w:rsid w:val="00EE2E1E"/>
    <w:rsid w:val="00EE4D54"/>
    <w:rsid w:val="00EE59B5"/>
    <w:rsid w:val="00EF2E04"/>
    <w:rsid w:val="00EF2E79"/>
    <w:rsid w:val="00EF3010"/>
    <w:rsid w:val="00EF3F3D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3F3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141</Words>
  <Characters>804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2008-05-12T20:33:00Z</dcterms:created>
  <dcterms:modified xsi:type="dcterms:W3CDTF">2008-05-12T20:33:00Z</dcterms:modified>
</cp:coreProperties>
</file>