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74:55:01:42.  Nonproduction zone monitoring.</w:t>
      </w:r>
      <w:r>
        <w:rPr>
          <w:rFonts w:ascii="Times New Roman" w:hAnsi="Times New Roman"/>
          <w:sz w:val="24"/>
        </w:rPr>
        <w:t xml:space="preserve"> At a minimum, nonproduction zone monitor wells shall be completed in any aquifer potentially affected by injection into the production zone. These monitor wells shall be located within the production area and up to 200 feet outside of the production area, with the majority of these wells located in the down gradient direction of groundwater flow in the aquifer in which the wells are completed.</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the first overlying aquifer above the production zone, a minimum of one well for every one acre of production area shall be completed.</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each additional overlying aquifer, a minimum of one well for every three acres of production area shall be completed.</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each underlying aquifer potentially affected by injection, the operator shall propose a monitor well spacing plan subject to approval by the secretary.</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Alternative nonproduction zone monitor well locations and spacing may be considered if the operator demonstrates that the proposed location or spacing will adequately provide monitoring coverage.</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03:11:42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7A7DD5" w:rsidRDefault="007A7DD5" w:rsidP="007339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A7DD5" w:rsidSect="007A7DD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390E"/>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DD5"/>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390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196</Words>
  <Characters>1121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2008-05-12T20:34:00Z</dcterms:created>
  <dcterms:modified xsi:type="dcterms:W3CDTF">2008-05-12T20:35:00Z</dcterms:modified>
</cp:coreProperties>
</file>