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293A" w:rsidRDefault="0022293A" w:rsidP="005F5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74:55:01:57.  Restoration sampling procedure.</w:t>
      </w:r>
      <w:r>
        <w:rPr>
          <w:rFonts w:ascii="Times New Roman" w:hAnsi="Times New Roman"/>
          <w:sz w:val="24"/>
        </w:rPr>
        <w:t xml:space="preserve"> After first notifying the secretary that mining in a production area is complete and that ground water restoration has begun, the operator shall sample and complete an analysis of designated baseline wells agreed upon by the secretary and the operator in the mine production area for all restoration values listed in the permit restoration table on a monthly basis. If this analysis indicates that approved restoration values have been achieved, the permittee shall file with the secretary a written report of the results. After filing the report, restoration sampling shall be conducted at bimonthly intervals.</w:t>
      </w:r>
    </w:p>
    <w:p w:rsidR="0022293A" w:rsidRDefault="0022293A" w:rsidP="005F5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2293A" w:rsidRDefault="0022293A" w:rsidP="005F5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03:11:57</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22293A" w:rsidRDefault="0022293A" w:rsidP="005F5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22293A" w:rsidRDefault="0022293A" w:rsidP="005F5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22293A" w:rsidRDefault="0022293A" w:rsidP="005F5D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2293A" w:rsidSect="0022293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293A"/>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DB0"/>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5DB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135</Words>
  <Characters>776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2008-05-12T20:47:00Z</dcterms:created>
  <dcterms:modified xsi:type="dcterms:W3CDTF">2008-05-12T20:47:00Z</dcterms:modified>
</cp:coreProperties>
</file>