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C07EC54"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74:56:01:54.  Permanent closure.</w:t>
      </w:r>
      <w:r>
        <w:rPr>
          <w:rFonts w:ascii="Times New Roman" w:hAnsi="Times New Roman"/>
          <w:sz w:val="24"/>
        </w:rPr>
        <w:t xml:space="preserve"> If an UST system is taken out of service for longer than 12 months, it shall be permanently closed</w:t>
      </w:r>
      <w:r>
        <w:rPr>
          <w:rFonts w:ascii="Times New Roman" w:hAnsi="Times New Roman"/>
          <w:sz w:val="24"/>
          <w:lang w:val="en-US" w:bidi="en-US" w:eastAsia="en-US"/>
        </w:rPr>
        <w:t>, if it does not meet either performance standards in</w:t>
      </w:r>
      <w:r>
        <w:rPr>
          <w:rFonts w:ascii="Times New Roman" w:hAnsi="Times New Roman"/>
          <w:sz w:val="24"/>
          <w:lang w:val="en-US" w:bidi="en-US" w:eastAsia="en-US"/>
        </w:rPr>
        <w:t xml:space="preserve"> </w:t>
      </w:r>
      <w:r>
        <w:rPr>
          <w:rFonts w:ascii="Times New Roman" w:hAnsi="Times New Roman"/>
          <w:sz w:val="24"/>
          <w:lang w:val="en-US" w:bidi="en-US" w:eastAsia="en-US"/>
        </w:rPr>
        <w:t>§</w:t>
      </w:r>
      <w:r>
        <w:rPr>
          <w:rFonts w:ascii="Times New Roman" w:hAnsi="Times New Roman"/>
          <w:sz w:val="24"/>
          <w:lang w:val="en-US" w:bidi="en-US" w:eastAsia="en-US"/>
        </w:rPr>
        <w:t> </w:t>
      </w:r>
      <w:r>
        <w:rPr>
          <w:rFonts w:ascii="Times New Roman" w:hAnsi="Times New Roman"/>
          <w:sz w:val="24"/>
          <w:lang w:val="en-US" w:bidi="en-US" w:eastAsia="en-US"/>
        </w:rPr>
        <w:t>74:56:01</w:t>
      </w:r>
      <w:r>
        <w:rPr>
          <w:rFonts w:ascii="Times New Roman" w:hAnsi="Times New Roman"/>
          <w:sz w:val="24"/>
          <w:lang w:val="en-US" w:bidi="en-US" w:eastAsia="en-US"/>
        </w:rPr>
        <w:t>:04 for new UST systems</w:t>
      </w:r>
      <w:r>
        <w:rPr>
          <w:rFonts w:ascii="Times New Roman" w:hAnsi="Times New Roman"/>
          <w:sz w:val="24"/>
          <w:lang w:val="en-US" w:bidi="en-US" w:eastAsia="en-US"/>
        </w:rPr>
        <w:t xml:space="preserve"> </w:t>
      </w:r>
      <w:r>
        <w:rPr>
          <w:rFonts w:ascii="Times New Roman" w:hAnsi="Times New Roman"/>
          <w:sz w:val="24"/>
          <w:lang w:val="en-US" w:bidi="en-US" w:eastAsia="en-US"/>
        </w:rPr>
        <w:t>or upgrading requirements in</w:t>
      </w:r>
      <w:r>
        <w:rPr>
          <w:rFonts w:ascii="Times New Roman" w:hAnsi="Times New Roman"/>
          <w:sz w:val="24"/>
          <w:lang w:val="en-US" w:bidi="en-US" w:eastAsia="en-US"/>
        </w:rPr>
        <w:t xml:space="preserve"> </w:t>
      </w:r>
      <w:r>
        <w:rPr>
          <w:rFonts w:ascii="Times New Roman" w:hAnsi="Times New Roman"/>
          <w:sz w:val="24"/>
          <w:lang w:val="en-US" w:bidi="en-US" w:eastAsia="en-US"/>
        </w:rPr>
        <w:t>§</w:t>
      </w:r>
      <w:r>
        <w:rPr>
          <w:rFonts w:ascii="Times New Roman" w:hAnsi="Times New Roman"/>
          <w:sz w:val="24"/>
          <w:lang w:val="en-US" w:bidi="en-US" w:eastAsia="en-US"/>
        </w:rPr>
        <w:t> </w:t>
      </w:r>
      <w:r>
        <w:rPr>
          <w:rFonts w:ascii="Times New Roman" w:hAnsi="Times New Roman"/>
          <w:sz w:val="24"/>
          <w:lang w:val="en-US" w:bidi="en-US" w:eastAsia="en-US"/>
        </w:rPr>
        <w:t>74:56:01</w:t>
      </w:r>
      <w:r>
        <w:rPr>
          <w:rFonts w:ascii="Times New Roman" w:hAnsi="Times New Roman"/>
          <w:sz w:val="24"/>
          <w:lang w:val="en-US" w:bidi="en-US" w:eastAsia="en-US"/>
        </w:rPr>
        <w:t>:10, the spill and overfill equipment requirements in</w:t>
      </w:r>
      <w:r>
        <w:rPr>
          <w:rFonts w:ascii="Times New Roman" w:hAnsi="Times New Roman"/>
          <w:sz w:val="24"/>
          <w:lang w:val="en-US" w:bidi="en-US" w:eastAsia="en-US"/>
        </w:rPr>
        <w:t xml:space="preserve"> </w:t>
      </w:r>
      <w:r>
        <w:rPr>
          <w:rFonts w:ascii="Times New Roman" w:hAnsi="Times New Roman"/>
          <w:sz w:val="24"/>
          <w:lang w:val="en-US" w:bidi="en-US" w:eastAsia="en-US"/>
        </w:rPr>
        <w:t>§</w:t>
      </w:r>
      <w:r>
        <w:rPr>
          <w:rFonts w:ascii="Times New Roman" w:hAnsi="Times New Roman"/>
          <w:sz w:val="24"/>
          <w:lang w:val="en-US" w:bidi="en-US" w:eastAsia="en-US"/>
        </w:rPr>
        <w:t> </w:t>
      </w:r>
      <w:r>
        <w:rPr>
          <w:rFonts w:ascii="Times New Roman" w:hAnsi="Times New Roman"/>
          <w:sz w:val="24"/>
          <w:lang w:val="en-US" w:bidi="en-US" w:eastAsia="en-US"/>
        </w:rPr>
        <w:t>74:56:01</w:t>
      </w:r>
      <w:r>
        <w:rPr>
          <w:rFonts w:ascii="Times New Roman" w:hAnsi="Times New Roman"/>
          <w:sz w:val="24"/>
          <w:lang w:val="en-US" w:bidi="en-US" w:eastAsia="en-US"/>
        </w:rPr>
        <w:t>:07 do</w:t>
      </w:r>
      <w:r>
        <w:rPr>
          <w:rFonts w:ascii="Times New Roman" w:hAnsi="Times New Roman"/>
          <w:sz w:val="24"/>
          <w:lang w:val="en-US" w:bidi="en-US" w:eastAsia="en-US"/>
        </w:rPr>
        <w:t xml:space="preserve"> </w:t>
      </w:r>
      <w:r>
        <w:rPr>
          <w:rFonts w:ascii="Times New Roman" w:hAnsi="Times New Roman"/>
          <w:sz w:val="24"/>
          <w:lang w:val="en-US" w:bidi="en-US" w:eastAsia="en-US"/>
        </w:rPr>
        <w:t>not have to be met. Owners and operators shall permanently close substandard UST systems at the end of this</w:t>
      </w:r>
      <w:r>
        <w:rPr>
          <w:rFonts w:ascii="Times New Roman" w:hAnsi="Times New Roman"/>
          <w:sz w:val="24"/>
          <w:lang w:val="en-US" w:bidi="en-US" w:eastAsia="en-US"/>
        </w:rPr>
        <w:t xml:space="preserve"> </w:t>
      </w:r>
      <w:r>
        <w:rPr>
          <w:rFonts w:ascii="Times New Roman" w:hAnsi="Times New Roman"/>
          <w:sz w:val="24"/>
          <w:lang w:val="en-US" w:bidi="en-US" w:eastAsia="en-US"/>
        </w:rPr>
        <w:t>12 month period, unless the department provides an extension of the 12 month temporary closure period</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At least 30 days before permanent closure, the owner or operator shall notify the department and assess the excavation area around the UST system for releases. This requirement is satisfied if one of the external monitoring release detection methods allowed under § 74:56:01:24 is in use at the site at the time of closure or if the owner or operator 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Portable gas chromatograph mapping;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Laboratory analysis of soil samples for hydrocarbon or chemical contamination in the unsaturated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Laboratory analysis of groundwater surrounding the tank for released product;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An equivalent site assessment method that has been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This provision applies to all UST system closures that took place before November 29, 1987, and were not removed from the ground or filled with an inert solid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14 SDR 76, effective November 29, 1987; transferred from § 74:03:28:29, 18 SDR 62, effective October 10, 1991; transferred from § 74:03:28:31, July 1, 1996</w:t>
      </w:r>
      <w:r>
        <w:rPr>
          <w:rFonts w:ascii="Times New Roman" w:hAnsi="Times New Roman"/>
          <w:sz w:val="24"/>
        </w:rPr>
        <w:t>; 44 SDR 192, effective June 28,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