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FA86756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74:57:01:05.  Triennial inspections.</w:t>
      </w:r>
      <w:r>
        <w:rPr>
          <w:rFonts w:ascii="Times New Roman" w:hAnsi="Times New Roman"/>
          <w:sz w:val="24"/>
        </w:rPr>
        <w:t xml:space="preserve"> The secretary shall conduct inspections of all concentrated animal feeding operations required to operate under a general or individual water pollution control permit under SDCL chapter 34A-2 </w:t>
      </w:r>
      <w:r>
        <w:rPr>
          <w:rFonts w:ascii="Times New Roman" w:hAnsi="Times New Roman"/>
          <w:sz w:val="24"/>
        </w:rPr>
        <w:t>at least one time every three years of operation. The secretary shall inspect new animal feeding operations within the first 18 months of operation.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24 SDR 99, effective February 1, 1998</w:t>
      </w:r>
      <w:r>
        <w:rPr>
          <w:rFonts w:ascii="Times New Roman" w:hAnsi="Times New Roman"/>
          <w:sz w:val="24"/>
        </w:rPr>
        <w:t>; 44 SDR 98, effective December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1-40-38.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1-40-38, 34A-2-45, 34A-2-46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Additional requirements for concentrated animal feeding operations</w:t>
      </w:r>
      <w:r>
        <w:rPr>
          <w:rFonts w:ascii="Times New Roman" w:hAnsi="Times New Roman"/>
          <w:sz w:val="24"/>
        </w:rPr>
        <w:t>, § 74:52:02:2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