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bookmarkStart w:id="0" w:name="_GoBack"/>
      <w:bookmarkEnd w:id="0"/>
      <w:r>
        <w:tab/>
      </w:r>
      <w:r>
        <w:rPr>
          <w:b w:val="1"/>
        </w:rPr>
        <w:t>44:19:01:04.  Required tests.</w:t>
      </w:r>
      <w:r>
        <w:t xml:space="preserve"> In addition to </w:t>
      </w:r>
      <w:r>
        <w:rPr>
          <w:lang w:val="en-US" w:bidi="en-US" w:eastAsia="en-US"/>
        </w:rPr>
        <w:t>the</w:t>
      </w:r>
      <w:r>
        <w:t xml:space="preserve"> metabolic disorder </w:t>
      </w:r>
      <w:r>
        <w:rPr>
          <w:lang w:val="en-US" w:bidi="en-US" w:eastAsia="en-US"/>
        </w:rPr>
        <w:t xml:space="preserve">tests </w:t>
      </w:r>
      <w:r>
        <w:t xml:space="preserve">required in SDCL 34-24-18, </w:t>
      </w:r>
      <w:r>
        <w:rPr>
          <w:lang w:val="en-US" w:bidi="en-US" w:eastAsia="en-US"/>
        </w:rPr>
        <w:t xml:space="preserve">a designated laboratory shall screen </w:t>
      </w:r>
      <w:r>
        <w:t xml:space="preserve">any infant born in </w:t>
      </w:r>
      <w:r>
        <w:rPr>
          <w:lang w:val="en-US" w:bidi="en-US" w:eastAsia="en-US"/>
        </w:rPr>
        <w:t>this state</w:t>
      </w:r>
      <w:r>
        <w:t xml:space="preserve"> for the following newborn screening disorders: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Hemoglobinopathies;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Biotinidase deficiency;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Classical congenital adrenal hyperplasia;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Fatty acid oxidation disorders;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Amino acid disorders;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(6)  Organic acid disorders;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(7)  Cystic fibrosis;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 xml:space="preserve">(8)  Severe </w:t>
      </w:r>
      <w:r>
        <w:rPr>
          <w:lang w:val="en-US" w:bidi="en-US" w:eastAsia="en-US"/>
        </w:rPr>
        <w:t>c</w:t>
      </w:r>
      <w:r>
        <w:t xml:space="preserve">ombined </w:t>
      </w:r>
      <w:r>
        <w:rPr>
          <w:lang w:val="en-US" w:bidi="en-US" w:eastAsia="en-US"/>
        </w:rPr>
        <w:t>i</w:t>
      </w:r>
      <w:r>
        <w:t xml:space="preserve">mmunodeficiency </w:t>
      </w:r>
      <w:r>
        <w:rPr>
          <w:lang w:val="en-US" w:bidi="en-US" w:eastAsia="en-US"/>
        </w:rPr>
        <w:t>d</w:t>
      </w:r>
      <w:r>
        <w:t>isorder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(9)  Spinal muscular atrophy;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(10)  Glycogen storage disease type II</w:t>
      </w:r>
      <w:r>
        <w:rPr>
          <w:lang w:val="en-US" w:bidi="en-US" w:eastAsia="en-US"/>
        </w:rPr>
        <w:t xml:space="preserve"> or </w:t>
      </w:r>
      <w:r>
        <w:rPr>
          <w:lang w:val="en-US" w:bidi="en-US" w:eastAsia="en-US"/>
        </w:rPr>
        <w:t>Pompe disease</w:t>
      </w:r>
      <w:r>
        <w:rPr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>(11)  </w:t>
      </w:r>
      <w:r>
        <w:t>X-linked adrenoleukodystrophy (X-ALD).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Each physician, nurse practitioner, physician assistant, certified nurse midwife, or certified professional midwife providing childbirth services shall perform a newborn hearing screening on any infant the provider or midwife delivers in this 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31 SDR 164, effective May 9, 2005; 33 SDR 180, effective May 7, 2007; 42 SDR 14, effective August 10, 2015</w:t>
      </w:r>
      <w:r>
        <w:rPr>
          <w:lang w:val="en-US" w:bidi="en-US" w:eastAsia="en-US"/>
        </w:rPr>
        <w:t>; 47 SDR 137, effective June 28, 2021; 49 SDR 16, effective September 1, 2022; 50 SDR 139, effective June 2,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34-24-25.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34-24-22.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2015-08-03T22:07:00Z</dcterms:created>
  <cp:lastModifiedBy>Kaitlyn Baucom</cp:lastModifiedBy>
  <dcterms:modified xsi:type="dcterms:W3CDTF">2024-05-28T14:49:14Z</dcterms:modified>
  <cp:revision>8</cp:revision>
</cp:coreProperties>
</file>