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3EA0" w:rsidRPr="009F4CB6" w:rsidRDefault="000C3EA0" w:rsidP="009F4CB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9F4CB6">
        <w:rPr>
          <w:szCs w:val="20"/>
        </w:rPr>
        <w:tab/>
      </w:r>
      <w:r w:rsidRPr="009F4CB6">
        <w:rPr>
          <w:b/>
          <w:szCs w:val="20"/>
        </w:rPr>
        <w:t>62:</w:t>
      </w:r>
      <w:smartTag w:uri="urn:schemas-microsoft-com:office:smarttags" w:element="time">
        <w:smartTagPr>
          <w:attr w:name="Minute" w:val="1"/>
          <w:attr w:name="Hour" w:val="16"/>
        </w:smartTagPr>
        <w:r w:rsidRPr="009F4CB6">
          <w:rPr>
            <w:b/>
            <w:szCs w:val="20"/>
          </w:rPr>
          <w:t>04:01</w:t>
        </w:r>
      </w:smartTag>
      <w:r w:rsidRPr="009F4CB6">
        <w:rPr>
          <w:b/>
          <w:szCs w:val="20"/>
        </w:rPr>
        <w:t>:03.  Qualifications in regard to compensation.</w:t>
      </w:r>
      <w:r w:rsidRPr="009F4CB6">
        <w:rPr>
          <w:szCs w:val="20"/>
        </w:rPr>
        <w:t xml:space="preserve"> A participant's compensation, for purposes of application of the provisions of SDCL 3-13A-5, paid or made available during a plan year shall include any elective deferral, as defined in § 402(g)(3) of the code, and any amount which is contributed or deferred by the participant's employer at the election of the participant and which is not includible in the gross income of the participant by reason of § 125, § 132(f)(4), or § 457(b) of the code.</w:t>
      </w:r>
    </w:p>
    <w:p w:rsidR="000C3EA0" w:rsidRPr="009F4CB6" w:rsidRDefault="000C3EA0" w:rsidP="009F4CB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0C3EA0" w:rsidRPr="009F4CB6" w:rsidRDefault="000C3EA0" w:rsidP="009F4CB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9F4CB6">
        <w:rPr>
          <w:szCs w:val="20"/>
        </w:rPr>
        <w:tab/>
      </w:r>
      <w:r w:rsidRPr="009F4CB6">
        <w:rPr>
          <w:b/>
          <w:szCs w:val="20"/>
        </w:rPr>
        <w:t>Source:</w:t>
      </w:r>
      <w:r w:rsidRPr="009F4CB6">
        <w:rPr>
          <w:szCs w:val="20"/>
        </w:rPr>
        <w:t xml:space="preserve"> 31 SDR 191, effective May 22, 2005; 39 SDR 227, effective July 1, 2013.</w:t>
      </w:r>
    </w:p>
    <w:p w:rsidR="000C3EA0" w:rsidRPr="009F4CB6" w:rsidRDefault="000C3EA0" w:rsidP="009F4CB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9F4CB6">
        <w:rPr>
          <w:szCs w:val="20"/>
        </w:rPr>
        <w:tab/>
      </w:r>
      <w:r w:rsidRPr="009F4CB6">
        <w:rPr>
          <w:b/>
          <w:szCs w:val="20"/>
        </w:rPr>
        <w:t>General Authority:</w:t>
      </w:r>
      <w:r w:rsidRPr="009F4CB6">
        <w:rPr>
          <w:szCs w:val="20"/>
        </w:rPr>
        <w:t xml:space="preserve"> SDCL 3-13A-4.</w:t>
      </w:r>
    </w:p>
    <w:p w:rsidR="000C3EA0" w:rsidRPr="009F4CB6" w:rsidRDefault="000C3EA0" w:rsidP="009F4CB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9F4CB6">
        <w:rPr>
          <w:szCs w:val="20"/>
        </w:rPr>
        <w:tab/>
      </w:r>
      <w:r w:rsidRPr="009F4CB6">
        <w:rPr>
          <w:b/>
          <w:szCs w:val="20"/>
        </w:rPr>
        <w:t>Law Implemented:</w:t>
      </w:r>
      <w:r w:rsidRPr="009F4CB6">
        <w:rPr>
          <w:szCs w:val="20"/>
        </w:rPr>
        <w:t xml:space="preserve"> SDCL 3-13A-5.</w:t>
      </w:r>
    </w:p>
    <w:p w:rsidR="000C3EA0" w:rsidRPr="009F4CB6" w:rsidRDefault="000C3EA0" w:rsidP="009F4CB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sectPr w:rsidR="000C3EA0" w:rsidRPr="009F4CB6"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F4CB6"/>
    <w:rsid w:val="00086AE4"/>
    <w:rsid w:val="000C3EA0"/>
    <w:rsid w:val="00477B21"/>
    <w:rsid w:val="008B09BA"/>
    <w:rsid w:val="009B13CF"/>
    <w:rsid w:val="009F4CB6"/>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97</Words>
  <Characters>558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2013-07-02T21:15:00Z</dcterms:created>
  <dcterms:modified xsi:type="dcterms:W3CDTF">2013-07-02T21:16:00Z</dcterms:modified>
</cp:coreProperties>
</file>