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12:68:27:0</w:t>
      </w:r>
      <w:r>
        <w:rPr>
          <w:b/>
        </w:rPr>
        <w:t>3</w:t>
      </w:r>
      <w:r w:rsidRPr="00C6485B">
        <w:rPr>
          <w:b/>
        </w:rPr>
        <w:t>.  </w:t>
      </w:r>
      <w:r>
        <w:rPr>
          <w:b/>
        </w:rPr>
        <w:t>Intrastate trichomoniasis testing requirements for bulls.</w:t>
      </w:r>
      <w:r w:rsidRPr="007E593E">
        <w:t xml:space="preserve"> The</w:t>
      </w:r>
      <w:r>
        <w:rPr>
          <w:b/>
        </w:rPr>
        <w:t xml:space="preserve"> </w:t>
      </w:r>
      <w:r w:rsidRPr="007E593E">
        <w:t>following</w:t>
      </w:r>
      <w:r>
        <w:t xml:space="preserve"> intrastate trichomoniasis testing requirements apply to bulls:</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Any owner or operator adjacent to or exposed to a herd that has confirmed trichomoniasis shall test any animals in the herd as directed by the board. The board may quarantine the entire herd until the testing has been completed to the satisfaction of the board;</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(2)  Any nonvirgin bull sold, loaned, or leased in </w:t>
      </w:r>
      <w:smartTag w:uri="urn:schemas-microsoft-com:office:smarttags" w:element="place">
        <w:smartTag w:uri="urn:schemas-microsoft-com:office:smarttags" w:element="State">
          <w:r>
            <w:t>South Dakota</w:t>
          </w:r>
        </w:smartTag>
      </w:smartTag>
      <w:r>
        <w:t xml:space="preserve"> for breeding purposes must be tested negative for trichomoniasis by testing conducted by a laboratory accredited by The American Association of Veterinary Laboratory Diagnosticians. The testing must be by methods approved by the board and may be by isolation of the organism or polymerase chain reaction (PCR);</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2600" w:rsidRPr="007E593E"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Any bull sold, loaned, or leased for the purposes of feeding, slaughter, use in confined dairies, rodeos, or exhibitions is exempt from the requirements of subdivision (2) of this section. The board shall determine eligibility for any such exemption.</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Source:</w:t>
      </w:r>
      <w:r>
        <w:t xml:space="preserve"> 31 SDR 191, effective </w:t>
      </w:r>
      <w:smartTag w:uri="urn:schemas-microsoft-com:office:smarttags" w:element="date">
        <w:smartTagPr>
          <w:attr w:name="Year" w:val="2005"/>
          <w:attr w:name="Day" w:val="6"/>
          <w:attr w:name="Month" w:val="6"/>
        </w:smartTagPr>
        <w:r>
          <w:t>June 6, 2005</w:t>
        </w:r>
      </w:smartTag>
      <w:r>
        <w:t xml:space="preserve">; 34 SDR 100, effective </w:t>
      </w:r>
      <w:smartTag w:uri="urn:schemas-microsoft-com:office:smarttags" w:element="date">
        <w:smartTagPr>
          <w:attr w:name="Year" w:val="2007"/>
          <w:attr w:name="Day" w:val="22"/>
          <w:attr w:name="Month" w:val="10"/>
        </w:smartTagPr>
        <w:r>
          <w:t>October 22, 2007</w:t>
        </w:r>
      </w:smartTag>
      <w:r>
        <w:t>.</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General Authority:</w:t>
      </w:r>
      <w:r>
        <w:t xml:space="preserve"> SDCL 40-3-14, 40-5-8.6.</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Law Implemented:</w:t>
      </w:r>
      <w:r>
        <w:t xml:space="preserve"> SDCL 40-3-9, 40-3-14, 40-3-16, 40-5-8, 40-5-8.2, 40-5-8.6.</w:t>
      </w:r>
    </w:p>
    <w:p w:rsidR="00B22600" w:rsidRDefault="00B22600" w:rsidP="000D49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22600" w:rsidSect="00B2260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49FF"/>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593E"/>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2600"/>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485B"/>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49FF"/>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188</Words>
  <Characters>1074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2007-10-17T20:24:00Z</dcterms:created>
  <dcterms:modified xsi:type="dcterms:W3CDTF">2007-10-17T20:24:00Z</dcterms:modified>
</cp:coreProperties>
</file>