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b/>
          <w:spacing w:val="-2"/>
        </w:rPr>
      </w:pPr>
      <w:r w:rsidRPr="00B629B1">
        <w:rPr>
          <w:b/>
          <w:spacing w:val="-2"/>
        </w:rPr>
        <w:t>CHAPTER 67:42:15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b/>
          <w:spacing w:val="-2"/>
        </w:rPr>
      </w:pP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b/>
          <w:spacing w:val="-2"/>
        </w:rPr>
      </w:pPr>
      <w:r w:rsidRPr="00B629B1">
        <w:rPr>
          <w:b/>
          <w:spacing w:val="-2"/>
        </w:rPr>
        <w:t>INTENSIVE RESIDENTIAL TREATMENT CENTERS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ind w:left="2160" w:hanging="2160"/>
        <w:rPr>
          <w:spacing w:val="-2"/>
        </w:rPr>
      </w:pP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ind w:left="2160" w:hanging="2160"/>
        <w:rPr>
          <w:spacing w:val="-2"/>
        </w:rPr>
      </w:pP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ind w:left="2160" w:hanging="2160"/>
        <w:rPr>
          <w:spacing w:val="-2"/>
        </w:rPr>
      </w:pPr>
      <w:r w:rsidRPr="00B629B1">
        <w:rPr>
          <w:spacing w:val="-2"/>
        </w:rPr>
        <w:t>Section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rPr>
          <w:spacing w:val="-2"/>
        </w:rPr>
      </w:pPr>
      <w:r w:rsidRPr="00B629B1">
        <w:rPr>
          <w:spacing w:val="-2"/>
        </w:rPr>
        <w:t>67:42:15:01</w:t>
      </w:r>
      <w:r w:rsidRPr="00B629B1">
        <w:rPr>
          <w:spacing w:val="-2"/>
        </w:rPr>
        <w:tab/>
      </w:r>
      <w:r w:rsidRPr="00B629B1">
        <w:rPr>
          <w:spacing w:val="-2"/>
        </w:rPr>
        <w:tab/>
      </w:r>
      <w:r w:rsidRPr="00B629B1">
        <w:rPr>
          <w:spacing w:val="-2"/>
        </w:rPr>
        <w:tab/>
      </w:r>
      <w:r w:rsidRPr="00B629B1">
        <w:rPr>
          <w:spacing w:val="-2"/>
        </w:rPr>
        <w:tab/>
      </w:r>
      <w:r w:rsidRPr="00B629B1">
        <w:rPr>
          <w:spacing w:val="-2"/>
        </w:rPr>
        <w:tab/>
      </w:r>
      <w:r w:rsidRPr="00B629B1">
        <w:rPr>
          <w:spacing w:val="-2"/>
        </w:rPr>
        <w:tab/>
        <w:t>Definitions.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67:42:15:02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Eligibility requirements -- IRTC.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67:42:15:02.01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Licensed practitioner.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67:42:15:03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Eligibility requirements -- Child.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67:42:15:04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Staff qualifications -- Program director.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67:42:15:05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Staff qualifications -- Direct care staff.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67:42:15:06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Staff qualifications -- Case managers.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67:42:15:07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Staff qualifications -- Counselors and therapists.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67:42:15:08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Caseloads -- Limits.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67:42:15:09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Treatment team.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67:42:15:10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Treatment plan.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67:42:15:11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Review and evaluation of treatment plan.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67:42:15:12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Discharge plan.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67:42:15:13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Living units.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67:42:15:14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Staff-child ratio.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67:42:15:15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Orientation training.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67:42:15:16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Annual training.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67:42:15:17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Compliance with chapter 67:42:07.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67:42:15:18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Written policy requirements.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67:42:15:19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Psychiatric services.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67:42:15:20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Nursing services.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67:42:15:21 and 67:42:15:22</w:t>
      </w:r>
      <w:r w:rsidRPr="00B629B1">
        <w:tab/>
        <w:t>Repealed.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67:42:15:23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Compliance with chapters 67:42:01 and 67:42:11.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</w:pPr>
      <w:r w:rsidRPr="00B629B1">
        <w:t>67:42:15:24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Emergency safety intervention -- Face-to-face assessment required.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629B1">
        <w:t>67:42:15:25</w:t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</w:r>
      <w:r w:rsidRPr="00B629B1">
        <w:tab/>
        <w:t>Emergency safety intervention.</w:t>
      </w: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625D90" w:rsidRPr="00B629B1" w:rsidRDefault="00625D90" w:rsidP="00B629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625D90" w:rsidRPr="00B629B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9B1"/>
    <w:rsid w:val="00086AE4"/>
    <w:rsid w:val="00477B21"/>
    <w:rsid w:val="00625D90"/>
    <w:rsid w:val="008B09BA"/>
    <w:rsid w:val="009B13CF"/>
    <w:rsid w:val="00B629B1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2013-06-27T15:40:00Z</dcterms:created>
  <dcterms:modified xsi:type="dcterms:W3CDTF">2013-06-27T15:41:00Z</dcterms:modified>
</cp:coreProperties>
</file>