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val="1"/>
          <w:sz w:val="24"/>
        </w:rPr>
        <w:t>2:01:06:17.  Basic requirement for continuing education of officers.</w:t>
      </w:r>
      <w:r>
        <w:rPr>
          <w:rFonts w:ascii="Times New Roman" w:hAnsi="Times New Roman"/>
          <w:sz w:val="24"/>
        </w:rPr>
        <w:t xml:space="preserve"> Beginning July 1, 2006, to maintain a basic certification, a law enforcement officer must complete 40 hours of training in a two-year period in the following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Annual firearms requalification to include completion of a certified shooting course with a passing score of at least 75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Continuing education to include completion of courses sponsored by law enforcement training or courses approved and documented by the law enforcement officer's agency in subject areas listed in § 2:01:06:05;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At least two hours of training in crisis intervention or mental illness</w:t>
      </w:r>
      <w:r>
        <w:rPr>
          <w:rFonts w:ascii="Times New Roman" w:hAnsi="Times New Roman"/>
          <w:sz w:val="24"/>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w:t>
      </w:r>
      <w:r>
        <w:rPr>
          <w:rFonts w:ascii="Times New Roman" w:hAnsi="Times New Roman"/>
          <w:sz w:val="24"/>
          <w:lang w:val="en-US" w:bidi="en-US" w:eastAsia="en-US"/>
        </w:rPr>
        <w:t>4</w:t>
      </w:r>
      <w:r>
        <w:rPr>
          <w:rFonts w:ascii="Times New Roman" w:hAnsi="Times New Roman"/>
          <w:sz w:val="24"/>
        </w:rPr>
        <w:t xml:space="preserve">)  At least two hours of training in </w:t>
      </w:r>
      <w:r>
        <w:rPr>
          <w:rFonts w:ascii="Times New Roman" w:hAnsi="Times New Roman"/>
          <w:sz w:val="24"/>
          <w:lang w:val="en-US" w:bidi="en-US" w:eastAsia="en-US"/>
        </w:rPr>
        <w:t>response-t</w:t>
      </w:r>
      <w:r>
        <w:rPr>
          <w:rFonts w:ascii="Times New Roman" w:hAnsi="Times New Roman"/>
          <w:sz w:val="24"/>
          <w:lang w:val="en-US" w:bidi="en-US" w:eastAsia="en-US"/>
        </w:rPr>
        <w:t>o-resistance traini</w:t>
      </w:r>
      <w:r>
        <w:rPr>
          <w:rFonts w:ascii="Times New Roman" w:hAnsi="Times New Roman"/>
          <w:sz w:val="24"/>
          <w:lang w:val="en-US" w:bidi="en-US" w:eastAsia="en-US"/>
        </w:rPr>
        <w:t>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These hours will be calculated biennially during even-numbered calendar years. A written report containing the name of the law enforcement officer, signed by the agency head or designee, certifying that the officer has successfully completed the continuing educational requirements and firearms requalification, must be submitted by the employing agency to the executive secretary no later than January 25</w:t>
      </w:r>
      <w:r>
        <w:rPr>
          <w:rFonts w:ascii="Times New Roman" w:hAnsi="Times New Roman"/>
          <w:sz w:val="24"/>
          <w:vertAlign w:val="superscript"/>
        </w:rPr>
        <w:t>th</w:t>
      </w:r>
      <w:r>
        <w:rPr>
          <w:rFonts w:ascii="Times New Roman" w:hAnsi="Times New Roman"/>
          <w:sz w:val="24"/>
        </w:rPr>
        <w:t xml:space="preserve"> of the year following an even-numbered year. An agency shall maintain training records and make them available for inspection by the commission, through the Office of Law Enforcement Training.</w:t>
      </w:r>
      <w:r>
        <w:rPr>
          <w:rFonts w:ascii="Times New Roman" w:hAnsi="Times New Roman"/>
          <w:sz w:val="24"/>
          <w:lang w:val="en-US" w:bidi="en-US" w:eastAsia="en-US"/>
        </w:rPr>
        <w:t xml:space="preserve"> A fai</w:t>
      </w:r>
      <w:r>
        <w:rPr>
          <w:rFonts w:ascii="Times New Roman" w:hAnsi="Times New Roman"/>
          <w:sz w:val="24"/>
          <w:lang w:val="en-US" w:bidi="en-US" w:eastAsia="en-US"/>
        </w:rPr>
        <w:t>lure to complete the requirements necessary to maintain basic certification within the two-</w:t>
      </w:r>
      <w:r>
        <w:rPr>
          <w:rFonts w:ascii="Times New Roman" w:hAnsi="Times New Roman"/>
          <w:sz w:val="24"/>
          <w:lang w:val="en-US" w:bidi="en-US" w:eastAsia="en-US"/>
        </w:rPr>
        <w:t>year period will result in the certification becoming inactive until such time as all training requirements are completed.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32 SDR 225, effective June 26, 2006; 35 SDR 171, effective December 30, 2008; 42 SDR 101, effective January 12, 2016</w:t>
      </w:r>
      <w:r>
        <w:rPr>
          <w:rFonts w:ascii="Times New Roman" w:hAnsi="Times New Roman"/>
          <w:sz w:val="24"/>
          <w:lang w:val="en-US" w:bidi="en-US" w:eastAsia="en-US"/>
        </w:rPr>
        <w:t>; 47 SDR 130, effective June 6</w:t>
      </w:r>
      <w:r>
        <w:rPr>
          <w:rFonts w:ascii="Times New Roman" w:hAnsi="Times New Roman"/>
          <w:sz w:val="24"/>
          <w:lang w:val="en-US" w:bidi="en-US" w:eastAsia="en-US"/>
        </w:rPr>
        <w:t>,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23-3-35(1)(3), 23-3-42.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23-3-26, 23-3-42.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2015-12-29T14:14:00Z</dcterms:created>
  <cp:lastModifiedBy>Kelly Thompson</cp:lastModifiedBy>
  <dcterms:modified xsi:type="dcterms:W3CDTF">2021-05-28T21:43:07Z</dcterms:modified>
  <cp:revision>2</cp:revision>
</cp:coreProperties>
</file>