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C3019F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20:76:01:01.  Definitions.</w:t>
      </w:r>
      <w:r>
        <w:rPr>
          <w:rFonts w:ascii="Times New Roman" w:hAnsi="Times New Roman"/>
          <w:sz w:val="24"/>
        </w:rPr>
        <w:t xml:space="preserve"> Terms defined in SDCL chapter 36-35 have the same meaning when used in this article. In addition, terms used in this article mean: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"Applicant," any person seeking initial licensure or renewal of a license with the board</w:t>
      </w:r>
      <w:r>
        <w:rPr>
          <w:rFonts w:ascii="Times New Roman" w:hAnsi="Times New Roman"/>
          <w:sz w:val="24"/>
        </w:rPr>
        <w:t>board</w:t>
      </w:r>
      <w:r>
        <w:rPr>
          <w:rFonts w:ascii="Times New Roman" w:hAnsi="Times New Roman"/>
          <w:sz w:val="24"/>
        </w:rPr>
        <w:t>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Completed application," an application which has all the required documentation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necessary to prove an applicant's qualifications for licensure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</w:t>
      </w:r>
      <w:r>
        <w:rPr>
          <w:rFonts w:ascii="Times New Roman" w:hAnsi="Times New Roman"/>
          <w:sz w:val="24"/>
          <w:lang w:val="en-US" w:bidi="en-US" w:eastAsia="en-US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36-35-24(1).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36-35-24.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