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8C1E036"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20:76:01:02.  Application.</w:t>
      </w:r>
      <w:r>
        <w:rPr>
          <w:rFonts w:ascii="Times New Roman" w:hAnsi="Times New Roman"/>
          <w:sz w:val="24"/>
        </w:rPr>
        <w:t xml:space="preserve"> </w:t>
      </w:r>
      <w:r>
        <w:rPr>
          <w:rFonts w:ascii="Times New Roman" w:hAnsi="Times New Roman"/>
          <w:sz w:val="24"/>
        </w:rPr>
        <w:t>An application for licensure, temporary permit, or renewal</w:t>
      </w:r>
      <w:r>
        <w:rPr>
          <w:rFonts w:ascii="Times New Roman" w:hAnsi="Times New Roman"/>
          <w:sz w:val="24"/>
          <w:lang w:val="en-US" w:bidi="en-US" w:eastAsia="en-US"/>
        </w:rPr>
        <w:t xml:space="preserve"> </w:t>
      </w:r>
      <w:r>
        <w:rPr>
          <w:rFonts w:ascii="Times New Roman" w:hAnsi="Times New Roman"/>
          <w:sz w:val="24"/>
        </w:rPr>
        <w:t>of a license must be made in writing on a form prescribed by the board. The applicable application</w:t>
      </w:r>
      <w:r>
        <w:rPr>
          <w:rFonts w:ascii="Times New Roman" w:hAnsi="Times New Roman"/>
          <w:sz w:val="24"/>
          <w:lang w:val="en-US" w:bidi="en-US" w:eastAsia="en-US"/>
        </w:rPr>
        <w:t xml:space="preserve"> </w:t>
      </w:r>
      <w:r>
        <w:rPr>
          <w:rFonts w:ascii="Times New Roman" w:hAnsi="Times New Roman"/>
          <w:sz w:val="24"/>
        </w:rPr>
        <w:t>fee must be submitted with the application. The application fee is non-refundable. The applicable</w:t>
      </w:r>
      <w:r>
        <w:rPr>
          <w:rFonts w:ascii="Times New Roman" w:hAnsi="Times New Roman"/>
          <w:sz w:val="24"/>
          <w:lang w:val="en-US" w:bidi="en-US" w:eastAsia="en-US"/>
        </w:rPr>
        <w:t xml:space="preserve"> </w:t>
      </w:r>
      <w:r>
        <w:rPr>
          <w:rFonts w:ascii="Times New Roman" w:hAnsi="Times New Roman"/>
          <w:sz w:val="24"/>
        </w:rPr>
        <w:t>license fee must also accompany the application. The license fee is refundable if the application</w:t>
      </w:r>
      <w:r>
        <w:rPr>
          <w:rFonts w:ascii="Times New Roman" w:hAnsi="Times New Roman"/>
          <w:sz w:val="24"/>
          <w:lang w:val="en-US" w:bidi="en-US" w:eastAsia="en-US"/>
        </w:rPr>
        <w:t xml:space="preserve"> </w:t>
      </w:r>
      <w:r>
        <w:rPr>
          <w:rFonts w:ascii="Times New Roman" w:hAnsi="Times New Roman"/>
          <w:sz w:val="24"/>
        </w:rPr>
        <w:t>is denied or withdrawn.</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sz w:val="24"/>
        </w:rPr>
        <w:t>An application is not complete until all required documentation is received by the board.</w:t>
      </w:r>
      <w:r>
        <w:rPr>
          <w:rFonts w:ascii="Times New Roman" w:hAnsi="Times New Roman"/>
          <w:sz w:val="24"/>
          <w:lang w:val="en-US" w:bidi="en-US" w:eastAsia="en-US"/>
        </w:rPr>
        <w:t xml:space="preserve"> </w:t>
      </w:r>
      <w:r>
        <w:rPr>
          <w:rFonts w:ascii="Times New Roman" w:hAnsi="Times New Roman"/>
          <w:sz w:val="24"/>
        </w:rPr>
        <w:t>The executive secretary may return an application for initial licensure or temporary permit that</w:t>
      </w:r>
      <w:r>
        <w:rPr>
          <w:rFonts w:ascii="Times New Roman" w:hAnsi="Times New Roman"/>
          <w:sz w:val="24"/>
          <w:lang w:val="en-US" w:bidi="en-US" w:eastAsia="en-US"/>
        </w:rPr>
        <w:t xml:space="preserve"> </w:t>
      </w:r>
      <w:r>
        <w:rPr>
          <w:rFonts w:ascii="Times New Roman" w:hAnsi="Times New Roman"/>
          <w:sz w:val="24"/>
        </w:rPr>
        <w:t>remains uncomplete one year after the date of initial submission of the application. Materials</w:t>
      </w:r>
      <w:r>
        <w:rPr>
          <w:rFonts w:ascii="Times New Roman" w:hAnsi="Times New Roman"/>
          <w:sz w:val="24"/>
          <w:lang w:val="en-US" w:bidi="en-US" w:eastAsia="en-US"/>
        </w:rPr>
        <w:t xml:space="preserve"> </w:t>
      </w:r>
      <w:r>
        <w:rPr>
          <w:rFonts w:ascii="Times New Roman" w:hAnsi="Times New Roman"/>
          <w:sz w:val="24"/>
        </w:rPr>
        <w:t>received by the board from a third party may not be returned to the applicant. A returned</w:t>
      </w:r>
      <w:r>
        <w:rPr>
          <w:rFonts w:ascii="Times New Roman" w:hAnsi="Times New Roman"/>
          <w:sz w:val="24"/>
          <w:lang w:val="en-US" w:bidi="en-US" w:eastAsia="en-US"/>
        </w:rPr>
        <w:t xml:space="preserve"> </w:t>
      </w:r>
      <w:r>
        <w:rPr>
          <w:rFonts w:ascii="Times New Roman" w:hAnsi="Times New Roman"/>
          <w:sz w:val="24"/>
        </w:rPr>
        <w:t>application shall be considered withdrawn.</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sz w:val="24"/>
        </w:rPr>
        <w:t xml:space="preserve">An applicant shall verify under the penalties of perjury that all the information submitted </w:t>
      </w:r>
      <w:r>
        <w:rPr>
          <w:rFonts w:ascii="Times New Roman" w:hAnsi="Times New Roman"/>
          <w:sz w:val="24"/>
          <w:lang w:val="en-US" w:bidi="en-US" w:eastAsia="en-US"/>
        </w:rPr>
        <w:t xml:space="preserve"> on an application </w:t>
      </w:r>
      <w:r>
        <w:rPr>
          <w:rFonts w:ascii="Times New Roman" w:hAnsi="Times New Roman"/>
          <w:sz w:val="24"/>
        </w:rPr>
        <w:t>by the applicant is true and correct. An applicant who submits an application by use of the internet agrees that submission of the application serves as the applicant's signature and verification of the information of the application. An applicant must notify the board if another state has disciplined the applicant with a reprimand, censure, suspension, temporary suspension, probation, revocation, or refusal to renew a license. The applicant may be required to clarify, expand, or provide additional information to fully evaluate all qualifications. If the applicant does not meet the requirements</w:t>
      </w:r>
      <w:r>
        <w:rPr>
          <w:rFonts w:ascii="Times New Roman" w:hAnsi="Times New Roman"/>
          <w:sz w:val="24"/>
          <w:lang w:val="en-US" w:bidi="en-US" w:eastAsia="en-US"/>
        </w:rPr>
        <w:t xml:space="preserve"> for licensure, a temporary permit, or renwal of a license</w:t>
      </w:r>
      <w:r>
        <w:rPr>
          <w:rFonts w:ascii="Times New Roman" w:hAnsi="Times New Roman"/>
          <w:sz w:val="24"/>
        </w:rPr>
        <w:t>, the executive secretary shall write a letter of explanation. The applicant may return the application and ask that it be submitted for board action.</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33 SDR 50, effective September 21, 2006; 37 SDR 29, effective August 30, 2010</w:t>
      </w:r>
      <w:r>
        <w:rPr>
          <w:rFonts w:ascii="Times New Roman" w:hAnsi="Times New Roman"/>
          <w:sz w:val="24"/>
        </w:rPr>
        <w:t>; 43 SDR 181, effective July 10, 2017</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36-35-24(1).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36-35-12.</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