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E7D2902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20:76:03:03.  Verification.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licensee shall complete eight hours of qualifying continuing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 in each continuing education cycle. Continuing education reguired for renewal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license shall be prorated in six month increments for a licensee granted an initial license during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continuing education cycle.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Upon</w:t>
      </w:r>
      <w:r>
        <w:rPr>
          <w:rFonts w:ascii="Times New Roman" w:hAnsi="Times New Roman"/>
          <w:sz w:val="24"/>
          <w:lang w:val="en-US" w:bidi="en-US" w:eastAsia="en-US"/>
        </w:rPr>
        <w:t xml:space="preserve"> application for</w:t>
      </w:r>
      <w:r>
        <w:rPr>
          <w:rFonts w:ascii="Times New Roman" w:hAnsi="Times New Roman"/>
          <w:sz w:val="24"/>
        </w:rPr>
        <w:t xml:space="preserve"> license renewal, a licensee shall verify under the penalties of perjury that all </w:t>
      </w:r>
      <w:r>
        <w:rPr>
          <w:rFonts w:ascii="Times New Roman" w:hAnsi="Times New Roman"/>
          <w:sz w:val="24"/>
          <w:lang w:val="en-US" w:bidi="en-US" w:eastAsia="en-US"/>
        </w:rPr>
        <w:t>continuing education</w:t>
      </w:r>
      <w:r>
        <w:rPr>
          <w:rFonts w:ascii="Times New Roman" w:hAnsi="Times New Roman"/>
          <w:sz w:val="24"/>
        </w:rPr>
        <w:t xml:space="preserve"> information</w:t>
      </w:r>
      <w:r>
        <w:rPr>
          <w:rFonts w:ascii="Times New Roman" w:hAnsi="Times New Roman"/>
          <w:sz w:val="24"/>
          <w:lang w:val="en-US" w:bidi="en-US" w:eastAsia="en-US"/>
        </w:rPr>
        <w:t xml:space="preserve"> provided with the application</w:t>
      </w:r>
      <w:r>
        <w:rPr>
          <w:rFonts w:ascii="Times New Roman" w:hAnsi="Times New Roman"/>
          <w:sz w:val="24"/>
        </w:rPr>
        <w:t xml:space="preserve"> is true and correct. </w:t>
      </w:r>
      <w:r>
        <w:rPr>
          <w:rFonts w:ascii="Times New Roman" w:hAnsi="Times New Roman"/>
          <w:sz w:val="24"/>
        </w:rPr>
        <w:t>The licensee must supply sufficient detail to permit audit verification if notified by the board of an audit.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34 SDR 101, effective October 22, 2007</w:t>
      </w:r>
      <w:r>
        <w:rPr>
          <w:rFonts w:ascii="Times New Roman" w:hAnsi="Times New Roman"/>
          <w:sz w:val="24"/>
        </w:rPr>
        <w:t>; 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36-35-24(2).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36-35-19.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