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AA51D7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20:76:05:01.  Minimum limits.</w:t>
      </w:r>
      <w:r>
        <w:rPr>
          <w:rFonts w:ascii="Times New Roman" w:hAnsi="Times New Roman"/>
          <w:sz w:val="24"/>
        </w:rPr>
        <w:t xml:space="preserve"> A licensee shall carry malpractice or professional liability insurance, with a company with a certificate of authority from the South Dakota Division of Insurance, with limits of no less than $250,000 per occurrence. A licensee shall notify the board of any change of carrier occurring after a license or renewal is granted.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applicant shall submit the declarations page issued by the applicant's malpractice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insurance carrier with any application for licensure, temporary permit or license renewal.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</w:t>
      </w:r>
      <w:r>
        <w:rPr>
          <w:rFonts w:ascii="Times New Roman" w:hAnsi="Times New Roman"/>
          <w:sz w:val="24"/>
          <w:lang w:val="en-US" w:bidi="en-US" w:eastAsia="en-US"/>
        </w:rPr>
        <w:t>; 43 SDR 181, effective Jul</w:t>
      </w:r>
      <w:r>
        <w:rPr>
          <w:rFonts w:ascii="Times New Roman" w:hAnsi="Times New Roman"/>
          <w:sz w:val="24"/>
          <w:lang w:val="en-US" w:bidi="en-US" w:eastAsia="en-US"/>
        </w:rPr>
        <w:t>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36-35-2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ab/>
        <w:t>Law Implemented:</w:t>
      </w:r>
      <w:r>
        <w:rPr>
          <w:rFonts w:ascii="Times New Roman" w:hAnsi="Times New Roman"/>
          <w:sz w:val="24"/>
        </w:rPr>
        <w:t xml:space="preserve"> SDCL 36-35-12, 36-35-21.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  <w:paperSrc w:first="11" w:other="1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