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12:68:17:12.  Procedure when pseudorabies found in slaughtered animals.</w:t>
      </w:r>
      <w:r>
        <w:t xml:space="preserve"> When slaughtered swine show evidence of pseudorabies based on tests of blood samples collected and the swine involved can be traced back to the herd of origin with reasonable certainty, the following procedures shall be followed:</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The state veterinarian or the state veterinarian's agent shall notify the owner or the owner's agent of the result of the test and shall instruct the owner or the owner's agent that no swine may be sold except for slaughter purposes, under permit, until tests are administered and the herd found not to be infected with pseudorabies;</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The owner or the owner's agent must have the herd tested within six months after the date of notice, or the owner or the owner's agent may elect to dispose of the entire herd for slaughter purposes in lieu of testing;</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The owner or the owner's agent must declare within 30 days after notification whether the owner or the owner's agent wants to have the herd tested or to sell it for slaughter;</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If the owner or the owner's agent decides to test the herd, the owner or the owner's agent must test according to a schedule agreed upon by the state veterinarian or the state veterinarian's agent and the owner or the owner's agent; and</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If pseudorabies in the herd is confirmed by laboratory diagnosis, the owner or the owner's agent must adopt an approved herd plan as defined in SDCL 40-9A-1(1) for eliminating pseudorabies from the premises and obtaining quarantine release. The owner and the owner's agent must adhere to the approved herd plan. Any modifications must be approved by the state veterinarian or the state veterinarian's agent after reviewing the progress of the cleanup in the herd.</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14 SDR 167, effective </w:t>
      </w:r>
      <w:smartTag w:uri="urn:schemas-microsoft-com:office:smarttags" w:element="date">
        <w:smartTagPr>
          <w:attr w:name="Month" w:val="6"/>
          <w:attr w:name="Day" w:val="22"/>
          <w:attr w:name="Year" w:val="1988"/>
        </w:smartTagPr>
        <w:r>
          <w:t>June 22, 1988</w:t>
        </w:r>
      </w:smartTag>
      <w:r>
        <w:t>; 16 SDR 40, effective September 3, 1989; 37 SDR 47, effective September 20, 2010.</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40-3-14, 40-9A-12.</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40-3-14, 40-9A-2, 40-9A-4, 40-9A-7, 40-9A-8.</w:t>
      </w:r>
    </w:p>
    <w:p w:rsidR="0080056C" w:rsidRDefault="0080056C" w:rsidP="00F31C3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80056C"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1C34"/>
    <w:rsid w:val="00054D12"/>
    <w:rsid w:val="0080056C"/>
    <w:rsid w:val="00993ACD"/>
    <w:rsid w:val="00DD60F6"/>
    <w:rsid w:val="00F31C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3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C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311</Words>
  <Characters>1697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cp:lastPrinted>2010-09-09T17:34:00Z</cp:lastPrinted>
  <dcterms:created xsi:type="dcterms:W3CDTF">2010-09-09T17:33:00Z</dcterms:created>
  <dcterms:modified xsi:type="dcterms:W3CDTF">2010-09-09T17:34:00Z</dcterms:modified>
</cp:coreProperties>
</file>