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5B8">
        <w:rPr>
          <w:rFonts w:ascii="Times New Roman" w:hAnsi="Times New Roman"/>
          <w:b/>
          <w:sz w:val="24"/>
        </w:rPr>
        <w:t>44:67:01:08.  Posting of license.</w:t>
      </w:r>
      <w:r>
        <w:rPr>
          <w:rFonts w:ascii="Times New Roman" w:hAnsi="Times New Roman"/>
          <w:sz w:val="24"/>
        </w:rPr>
        <w:t xml:space="preserve"> The most current license issued by the department must be posted on the premises of the abortion facility in a place conspicuous to the public. Each abortion facility address shall show a current license. The license certificate remains the property of the department.</w:t>
      </w:r>
    </w:p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34-23A-46, 34-23A-48, 34-23A-51.</w:t>
      </w:r>
    </w:p>
    <w:p w:rsidR="00BC0159" w:rsidRDefault="00BC0159" w:rsidP="00BE2A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0159" w:rsidSect="00BC01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55B8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59"/>
    <w:rsid w:val="00BC0175"/>
    <w:rsid w:val="00BC28A3"/>
    <w:rsid w:val="00BC7DB4"/>
    <w:rsid w:val="00BD7CAE"/>
    <w:rsid w:val="00BE2AA9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AA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2006-12-22T19:15:00Z</dcterms:created>
  <dcterms:modified xsi:type="dcterms:W3CDTF">2006-12-22T19:15:00Z</dcterms:modified>
</cp:coreProperties>
</file>